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B5CF4D">
      <w:pPr>
        <w:pStyle w:val="2"/>
      </w:pPr>
      <w:bookmarkStart w:id="0" w:name="prisma-2020-main-checklist"/>
      <w:r>
        <w:t>PRISMA 2020 Main Checklist</w:t>
      </w:r>
    </w:p>
    <w:tbl>
      <w:tblPr>
        <w:tblStyle w:val="21"/>
        <w:tblW w:w="0" w:type="auto"/>
        <w:jc w:val="center"/>
        <w:tblLayout w:type="autofit"/>
        <w:tblCellMar>
          <w:top w:w="0" w:type="dxa"/>
          <w:left w:w="108" w:type="dxa"/>
          <w:bottom w:w="0" w:type="dxa"/>
          <w:right w:w="108" w:type="dxa"/>
        </w:tblCellMar>
      </w:tblPr>
      <w:tblGrid>
        <w:gridCol w:w="1479"/>
        <w:gridCol w:w="511"/>
        <w:gridCol w:w="1713"/>
        <w:gridCol w:w="5677"/>
      </w:tblGrid>
      <w:tr w14:paraId="3A6A7C57">
        <w:tblPrEx>
          <w:tblCellMar>
            <w:top w:w="0" w:type="dxa"/>
            <w:left w:w="108" w:type="dxa"/>
            <w:bottom w:w="0" w:type="dxa"/>
            <w:right w:w="108" w:type="dxa"/>
          </w:tblCellMar>
        </w:tblPrEx>
        <w:trPr>
          <w:cantSplit/>
          <w:trHeight w:val="0" w:hRule="atLeast"/>
          <w:tblHeader/>
          <w:jc w:val="center"/>
        </w:trPr>
        <w:tc>
          <w:tcPr>
            <w:tcBorders>
              <w:top w:val="single" w:color="000000" w:sz="8" w:space="0"/>
              <w:left w:val="single" w:color="000000" w:sz="8" w:space="0"/>
              <w:bottom w:val="single" w:color="000000" w:sz="8" w:space="0"/>
            </w:tcBorders>
            <w:shd w:val="clear" w:color="auto" w:fill="63639A"/>
            <w:tcMar>
              <w:top w:w="0" w:type="dxa"/>
              <w:left w:w="0" w:type="dxa"/>
              <w:bottom w:w="0" w:type="dxa"/>
              <w:right w:w="0" w:type="dxa"/>
            </w:tcMar>
            <w:vAlign w:val="center"/>
          </w:tcPr>
          <w:p w14:paraId="7B0C4F15">
            <w:pPr>
              <w:spacing w:before="100" w:after="100" w:line="240" w:lineRule="auto"/>
              <w:ind w:left="100" w:right="100" w:firstLine="0"/>
              <w:jc w:val="left"/>
            </w:pPr>
            <w:r>
              <w:rPr>
                <w:rFonts w:ascii="DejaVu Sans" w:hAnsi="DejaVu Sans" w:eastAsia="DejaVu Sans" w:cs="DejaVu Sans"/>
                <w:b/>
                <w:color w:val="FFFFFF"/>
                <w:sz w:val="18"/>
                <w:szCs w:val="18"/>
              </w:rPr>
              <w:t>Topic</w:t>
            </w:r>
          </w:p>
        </w:tc>
        <w:tc>
          <w:tcPr>
            <w:tcBorders>
              <w:top w:val="single" w:color="000000" w:sz="8" w:space="0"/>
              <w:bottom w:val="single" w:color="000000" w:sz="8" w:space="0"/>
            </w:tcBorders>
            <w:shd w:val="clear" w:color="auto" w:fill="63639A"/>
            <w:tcMar>
              <w:top w:w="0" w:type="dxa"/>
              <w:left w:w="0" w:type="dxa"/>
              <w:bottom w:w="0" w:type="dxa"/>
              <w:right w:w="0" w:type="dxa"/>
            </w:tcMar>
            <w:vAlign w:val="center"/>
          </w:tcPr>
          <w:p w14:paraId="75B0993F">
            <w:pPr>
              <w:spacing w:before="100" w:after="100" w:line="240" w:lineRule="auto"/>
              <w:ind w:left="100" w:right="100" w:firstLine="0"/>
              <w:jc w:val="center"/>
            </w:pPr>
            <w:r>
              <w:rPr>
                <w:rFonts w:ascii="DejaVu Sans" w:hAnsi="DejaVu Sans" w:eastAsia="DejaVu Sans" w:cs="DejaVu Sans"/>
                <w:b/>
                <w:color w:val="FFFFFF"/>
                <w:sz w:val="18"/>
                <w:szCs w:val="18"/>
              </w:rPr>
              <w:t>No.</w:t>
            </w:r>
          </w:p>
        </w:tc>
        <w:tc>
          <w:tcPr>
            <w:tcBorders>
              <w:top w:val="single" w:color="000000" w:sz="8" w:space="0"/>
              <w:bottom w:val="single" w:color="000000" w:sz="8" w:space="0"/>
            </w:tcBorders>
            <w:shd w:val="clear" w:color="auto" w:fill="63639A"/>
            <w:tcMar>
              <w:top w:w="0" w:type="dxa"/>
              <w:left w:w="0" w:type="dxa"/>
              <w:bottom w:w="0" w:type="dxa"/>
              <w:right w:w="0" w:type="dxa"/>
            </w:tcMar>
            <w:vAlign w:val="center"/>
          </w:tcPr>
          <w:p w14:paraId="0B564816">
            <w:pPr>
              <w:spacing w:before="100" w:after="100" w:line="240" w:lineRule="auto"/>
              <w:ind w:left="100" w:right="100" w:firstLine="0"/>
              <w:jc w:val="left"/>
            </w:pPr>
            <w:r>
              <w:rPr>
                <w:rFonts w:ascii="DejaVu Sans" w:hAnsi="DejaVu Sans" w:eastAsia="DejaVu Sans" w:cs="DejaVu Sans"/>
                <w:b/>
                <w:color w:val="FFFFFF"/>
                <w:sz w:val="18"/>
                <w:szCs w:val="18"/>
              </w:rPr>
              <w:t>Item</w:t>
            </w:r>
          </w:p>
        </w:tc>
        <w:tc>
          <w:tcPr>
            <w:tcBorders>
              <w:top w:val="single" w:color="000000" w:sz="8" w:space="0"/>
              <w:bottom w:val="single" w:color="000000" w:sz="8" w:space="0"/>
              <w:right w:val="single" w:color="000000" w:sz="8" w:space="0"/>
            </w:tcBorders>
            <w:shd w:val="clear" w:color="auto" w:fill="63639A"/>
            <w:tcMar>
              <w:top w:w="0" w:type="dxa"/>
              <w:left w:w="0" w:type="dxa"/>
              <w:bottom w:w="0" w:type="dxa"/>
              <w:right w:w="0" w:type="dxa"/>
            </w:tcMar>
            <w:vAlign w:val="center"/>
          </w:tcPr>
          <w:p w14:paraId="2964F97E">
            <w:pPr>
              <w:spacing w:before="100" w:after="100" w:line="240" w:lineRule="auto"/>
              <w:ind w:left="100" w:right="100" w:firstLine="0"/>
              <w:jc w:val="center"/>
            </w:pPr>
            <w:r>
              <w:rPr>
                <w:rFonts w:ascii="DejaVu Sans" w:hAnsi="DejaVu Sans" w:eastAsia="DejaVu Sans" w:cs="DejaVu Sans"/>
                <w:b/>
                <w:color w:val="FFFFFF"/>
                <w:sz w:val="18"/>
                <w:szCs w:val="18"/>
              </w:rPr>
              <w:t>Location where item is reported</w:t>
            </w:r>
          </w:p>
        </w:tc>
      </w:tr>
      <w:tr w14:paraId="1088C268">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CC"/>
            <w:tcMar>
              <w:top w:w="0" w:type="dxa"/>
              <w:left w:w="0" w:type="dxa"/>
              <w:bottom w:w="0" w:type="dxa"/>
              <w:right w:w="0" w:type="dxa"/>
            </w:tcMar>
            <w:vAlign w:val="top"/>
          </w:tcPr>
          <w:p w14:paraId="7DC1D324">
            <w:pPr>
              <w:spacing w:before="100" w:after="100" w:line="240" w:lineRule="auto"/>
              <w:ind w:left="100" w:right="100" w:firstLine="0"/>
              <w:jc w:val="left"/>
            </w:pPr>
            <w:r>
              <w:rPr>
                <w:rFonts w:ascii="DejaVu Sans" w:hAnsi="DejaVu Sans" w:eastAsia="DejaVu Sans" w:cs="DejaVu Sans"/>
                <w:b/>
                <w:color w:val="000000"/>
                <w:sz w:val="18"/>
                <w:szCs w:val="18"/>
              </w:rPr>
              <w:t>TITLE</w:t>
            </w:r>
          </w:p>
        </w:tc>
        <w:tc>
          <w:tcPr>
            <w:shd w:val="clear" w:color="auto" w:fill="FFFFCC"/>
            <w:tcMar>
              <w:top w:w="0" w:type="dxa"/>
              <w:left w:w="0" w:type="dxa"/>
              <w:bottom w:w="0" w:type="dxa"/>
              <w:right w:w="0" w:type="dxa"/>
            </w:tcMar>
            <w:vAlign w:val="top"/>
          </w:tcPr>
          <w:p w14:paraId="06600991">
            <w:pPr>
              <w:spacing w:before="100" w:after="100" w:line="240" w:lineRule="auto"/>
              <w:ind w:left="100" w:right="100" w:firstLine="0"/>
              <w:jc w:val="center"/>
            </w:pPr>
          </w:p>
        </w:tc>
        <w:tc>
          <w:tcPr>
            <w:shd w:val="clear" w:color="auto" w:fill="FFFFCC"/>
            <w:tcMar>
              <w:top w:w="0" w:type="dxa"/>
              <w:left w:w="0" w:type="dxa"/>
              <w:bottom w:w="0" w:type="dxa"/>
              <w:right w:w="0" w:type="dxa"/>
            </w:tcMar>
            <w:vAlign w:val="top"/>
          </w:tcPr>
          <w:p w14:paraId="38E3AE87">
            <w:pPr>
              <w:spacing w:before="100" w:after="100" w:line="240" w:lineRule="auto"/>
              <w:ind w:left="100" w:right="100" w:firstLine="0"/>
              <w:jc w:val="left"/>
            </w:pPr>
          </w:p>
        </w:tc>
        <w:tc>
          <w:tcPr>
            <w:tcBorders>
              <w:right w:val="single" w:color="000000" w:sz="8" w:space="0"/>
            </w:tcBorders>
            <w:shd w:val="clear" w:color="auto" w:fill="FFFFCC"/>
            <w:tcMar>
              <w:top w:w="0" w:type="dxa"/>
              <w:left w:w="0" w:type="dxa"/>
              <w:bottom w:w="0" w:type="dxa"/>
              <w:right w:w="0" w:type="dxa"/>
            </w:tcMar>
            <w:vAlign w:val="top"/>
          </w:tcPr>
          <w:p w14:paraId="740557D3">
            <w:pPr>
              <w:spacing w:before="100" w:after="100" w:line="240" w:lineRule="auto"/>
              <w:ind w:left="100" w:right="100" w:firstLine="0"/>
              <w:jc w:val="center"/>
            </w:pPr>
          </w:p>
        </w:tc>
      </w:tr>
      <w:tr w14:paraId="0F7D3BB9">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4036EA9A">
            <w:pPr>
              <w:spacing w:before="100" w:after="100" w:line="240" w:lineRule="auto"/>
              <w:ind w:left="100" w:right="100" w:firstLine="0"/>
              <w:jc w:val="left"/>
            </w:pPr>
            <w:r>
              <w:rPr>
                <w:rFonts w:ascii="DejaVu Sans" w:hAnsi="DejaVu Sans" w:eastAsia="DejaVu Sans" w:cs="DejaVu Sans"/>
                <w:b/>
                <w:color w:val="000000"/>
                <w:sz w:val="18"/>
                <w:szCs w:val="18"/>
              </w:rPr>
              <w:t>Title</w:t>
            </w:r>
          </w:p>
        </w:tc>
        <w:tc>
          <w:tcPr>
            <w:shd w:val="clear" w:color="auto" w:fill="FFFFFF"/>
            <w:tcMar>
              <w:top w:w="0" w:type="dxa"/>
              <w:left w:w="0" w:type="dxa"/>
              <w:bottom w:w="0" w:type="dxa"/>
              <w:right w:w="0" w:type="dxa"/>
            </w:tcMar>
            <w:vAlign w:val="top"/>
          </w:tcPr>
          <w:p w14:paraId="40885FB2">
            <w:pPr>
              <w:spacing w:before="100" w:after="100" w:line="240" w:lineRule="auto"/>
              <w:ind w:left="100" w:right="100" w:firstLine="0"/>
              <w:jc w:val="center"/>
            </w:pPr>
            <w:r>
              <w:rPr>
                <w:rFonts w:ascii="DejaVu Sans" w:hAnsi="DejaVu Sans" w:eastAsia="DejaVu Sans" w:cs="DejaVu Sans"/>
                <w:color w:val="000000"/>
                <w:sz w:val="18"/>
                <w:szCs w:val="18"/>
              </w:rPr>
              <w:t>1</w:t>
            </w:r>
          </w:p>
        </w:tc>
        <w:tc>
          <w:tcPr>
            <w:shd w:val="clear" w:color="auto" w:fill="FFFFFF"/>
            <w:tcMar>
              <w:top w:w="0" w:type="dxa"/>
              <w:left w:w="0" w:type="dxa"/>
              <w:bottom w:w="0" w:type="dxa"/>
              <w:right w:w="0" w:type="dxa"/>
            </w:tcMar>
            <w:vAlign w:val="top"/>
          </w:tcPr>
          <w:p w14:paraId="1D4225BB">
            <w:pPr>
              <w:spacing w:before="100" w:after="100" w:line="240" w:lineRule="auto"/>
              <w:ind w:left="100" w:right="100" w:firstLine="0"/>
              <w:jc w:val="left"/>
            </w:pPr>
            <w:r>
              <w:rPr>
                <w:rFonts w:ascii="DejaVu Sans" w:hAnsi="DejaVu Sans" w:eastAsia="DejaVu Sans" w:cs="DejaVu Sans"/>
                <w:color w:val="000000"/>
                <w:sz w:val="18"/>
                <w:szCs w:val="18"/>
              </w:rPr>
              <w:t xml:space="preserve">Identify the report as a systematic review. </w:t>
            </w:r>
          </w:p>
        </w:tc>
        <w:tc>
          <w:tcPr>
            <w:tcBorders>
              <w:right w:val="single" w:color="000000" w:sz="8" w:space="0"/>
            </w:tcBorders>
            <w:shd w:val="clear" w:color="auto" w:fill="FFFFFF"/>
            <w:tcMar>
              <w:top w:w="0" w:type="dxa"/>
              <w:left w:w="0" w:type="dxa"/>
              <w:bottom w:w="0" w:type="dxa"/>
              <w:right w:w="0" w:type="dxa"/>
            </w:tcMar>
            <w:vAlign w:val="top"/>
          </w:tcPr>
          <w:p w14:paraId="32712FB6">
            <w:pPr>
              <w:spacing w:before="100" w:after="100" w:line="240" w:lineRule="auto"/>
              <w:ind w:left="100" w:right="100" w:firstLine="0"/>
              <w:jc w:val="center"/>
            </w:pPr>
            <w:r>
              <w:rPr>
                <w:rFonts w:hint="eastAsia" w:ascii="DejaVu Sans" w:hAnsi="DejaVu Sans" w:eastAsia="DejaVu Sans" w:cs="DejaVu Sans"/>
                <w:color w:val="000000"/>
                <w:sz w:val="18"/>
                <w:szCs w:val="18"/>
              </w:rPr>
              <w:t>Manuscript title: Systematic Review and Meta-Analysis of the Efficacy of Fecal Microbiota Transplantation in Parkinson’s Disease: An Exploration Based on UPDRS and Cognitive Scores, explicitly labelled as a systematic review and meta-analysis</w:t>
            </w:r>
          </w:p>
        </w:tc>
      </w:tr>
      <w:tr w14:paraId="51D2CB21">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CC"/>
            <w:tcMar>
              <w:top w:w="0" w:type="dxa"/>
              <w:left w:w="0" w:type="dxa"/>
              <w:bottom w:w="0" w:type="dxa"/>
              <w:right w:w="0" w:type="dxa"/>
            </w:tcMar>
            <w:vAlign w:val="top"/>
          </w:tcPr>
          <w:p w14:paraId="2BDA6585">
            <w:pPr>
              <w:spacing w:before="100" w:after="100" w:line="240" w:lineRule="auto"/>
              <w:ind w:left="100" w:right="100" w:firstLine="0"/>
              <w:jc w:val="left"/>
            </w:pPr>
            <w:r>
              <w:rPr>
                <w:rFonts w:ascii="DejaVu Sans" w:hAnsi="DejaVu Sans" w:eastAsia="DejaVu Sans" w:cs="DejaVu Sans"/>
                <w:b/>
                <w:color w:val="000000"/>
                <w:sz w:val="18"/>
                <w:szCs w:val="18"/>
              </w:rPr>
              <w:t>ABSTRACT</w:t>
            </w:r>
          </w:p>
        </w:tc>
        <w:tc>
          <w:tcPr>
            <w:shd w:val="clear" w:color="auto" w:fill="FFFFCC"/>
            <w:tcMar>
              <w:top w:w="0" w:type="dxa"/>
              <w:left w:w="0" w:type="dxa"/>
              <w:bottom w:w="0" w:type="dxa"/>
              <w:right w:w="0" w:type="dxa"/>
            </w:tcMar>
            <w:vAlign w:val="top"/>
          </w:tcPr>
          <w:p w14:paraId="1BC32E70">
            <w:pPr>
              <w:spacing w:before="100" w:after="100" w:line="240" w:lineRule="auto"/>
              <w:ind w:left="100" w:right="100" w:firstLine="0"/>
              <w:jc w:val="center"/>
            </w:pPr>
          </w:p>
        </w:tc>
        <w:tc>
          <w:tcPr>
            <w:shd w:val="clear" w:color="auto" w:fill="FFFFCC"/>
            <w:tcMar>
              <w:top w:w="0" w:type="dxa"/>
              <w:left w:w="0" w:type="dxa"/>
              <w:bottom w:w="0" w:type="dxa"/>
              <w:right w:w="0" w:type="dxa"/>
            </w:tcMar>
            <w:vAlign w:val="top"/>
          </w:tcPr>
          <w:p w14:paraId="6CCAA740">
            <w:pPr>
              <w:spacing w:before="100" w:after="100" w:line="240" w:lineRule="auto"/>
              <w:ind w:left="100" w:right="100" w:firstLine="0"/>
              <w:jc w:val="left"/>
            </w:pPr>
          </w:p>
        </w:tc>
        <w:tc>
          <w:tcPr>
            <w:tcBorders>
              <w:right w:val="single" w:color="000000" w:sz="8" w:space="0"/>
            </w:tcBorders>
            <w:shd w:val="clear" w:color="auto" w:fill="FFFFCC"/>
            <w:tcMar>
              <w:top w:w="0" w:type="dxa"/>
              <w:left w:w="0" w:type="dxa"/>
              <w:bottom w:w="0" w:type="dxa"/>
              <w:right w:w="0" w:type="dxa"/>
            </w:tcMar>
            <w:vAlign w:val="top"/>
          </w:tcPr>
          <w:p w14:paraId="7AC377F7">
            <w:pPr>
              <w:spacing w:before="100" w:after="100" w:line="240" w:lineRule="auto"/>
              <w:ind w:left="100" w:right="100" w:firstLine="0"/>
              <w:jc w:val="center"/>
            </w:pPr>
          </w:p>
        </w:tc>
      </w:tr>
      <w:tr w14:paraId="2060E062">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58BC384B">
            <w:pPr>
              <w:spacing w:before="100" w:after="100" w:line="240" w:lineRule="auto"/>
              <w:ind w:left="100" w:right="100" w:firstLine="0"/>
              <w:jc w:val="left"/>
            </w:pPr>
            <w:r>
              <w:rPr>
                <w:rFonts w:ascii="DejaVu Sans" w:hAnsi="DejaVu Sans" w:eastAsia="DejaVu Sans" w:cs="DejaVu Sans"/>
                <w:b/>
                <w:color w:val="000000"/>
                <w:sz w:val="18"/>
                <w:szCs w:val="18"/>
              </w:rPr>
              <w:t>Abstract</w:t>
            </w:r>
          </w:p>
        </w:tc>
        <w:tc>
          <w:tcPr>
            <w:shd w:val="clear" w:color="auto" w:fill="FFFFFF"/>
            <w:tcMar>
              <w:top w:w="0" w:type="dxa"/>
              <w:left w:w="0" w:type="dxa"/>
              <w:bottom w:w="0" w:type="dxa"/>
              <w:right w:w="0" w:type="dxa"/>
            </w:tcMar>
            <w:vAlign w:val="top"/>
          </w:tcPr>
          <w:p w14:paraId="09B7388B">
            <w:pPr>
              <w:spacing w:before="100" w:after="100" w:line="240" w:lineRule="auto"/>
              <w:ind w:left="100" w:right="100" w:firstLine="0"/>
              <w:jc w:val="center"/>
            </w:pPr>
            <w:r>
              <w:rPr>
                <w:rFonts w:ascii="DejaVu Sans" w:hAnsi="DejaVu Sans" w:eastAsia="DejaVu Sans" w:cs="DejaVu Sans"/>
                <w:color w:val="000000"/>
                <w:sz w:val="18"/>
                <w:szCs w:val="18"/>
              </w:rPr>
              <w:t>2</w:t>
            </w:r>
          </w:p>
        </w:tc>
        <w:tc>
          <w:tcPr>
            <w:shd w:val="clear" w:color="auto" w:fill="FFFFFF"/>
            <w:tcMar>
              <w:top w:w="0" w:type="dxa"/>
              <w:left w:w="0" w:type="dxa"/>
              <w:bottom w:w="0" w:type="dxa"/>
              <w:right w:w="0" w:type="dxa"/>
            </w:tcMar>
            <w:vAlign w:val="top"/>
          </w:tcPr>
          <w:p w14:paraId="4B0167E2">
            <w:pPr>
              <w:spacing w:before="100" w:after="100" w:line="240" w:lineRule="auto"/>
              <w:ind w:left="100" w:right="100" w:firstLine="0"/>
              <w:jc w:val="left"/>
              <w:rPr>
                <w:rFonts w:hint="eastAsia" w:eastAsia="宋体"/>
                <w:lang w:val="en-US" w:eastAsia="zh-CN"/>
              </w:rPr>
            </w:pPr>
            <w:r>
              <w:rPr>
                <w:rFonts w:ascii="DejaVu Sans" w:hAnsi="DejaVu Sans" w:eastAsia="DejaVu Sans" w:cs="DejaVu Sans"/>
                <w:color w:val="000000"/>
                <w:sz w:val="18"/>
                <w:szCs w:val="18"/>
              </w:rPr>
              <w:t>See the PRISMA 2020 for Abstracts checklist</w:t>
            </w:r>
            <w:r>
              <w:rPr>
                <w:rFonts w:hint="eastAsia" w:ascii="DejaVu Sans" w:hAnsi="DejaVu Sans" w:eastAsia="宋体" w:cs="DejaVu Sans"/>
                <w:color w:val="000000"/>
                <w:sz w:val="18"/>
                <w:szCs w:val="18"/>
                <w:lang w:val="en-US" w:eastAsia="zh-CN"/>
              </w:rPr>
              <w:t xml:space="preserve"> </w:t>
            </w:r>
          </w:p>
        </w:tc>
        <w:tc>
          <w:tcPr>
            <w:tcBorders>
              <w:right w:val="single" w:color="000000" w:sz="8" w:space="0"/>
            </w:tcBorders>
            <w:shd w:val="clear" w:color="auto" w:fill="FFFFFF"/>
            <w:tcMar>
              <w:top w:w="0" w:type="dxa"/>
              <w:left w:w="0" w:type="dxa"/>
              <w:bottom w:w="0" w:type="dxa"/>
              <w:right w:w="0" w:type="dxa"/>
            </w:tcMar>
            <w:vAlign w:val="top"/>
          </w:tcPr>
          <w:p w14:paraId="497DF1BE">
            <w:pPr>
              <w:spacing w:before="100" w:after="100" w:line="240" w:lineRule="auto"/>
              <w:ind w:left="100" w:right="100" w:firstLine="0"/>
              <w:jc w:val="center"/>
            </w:pPr>
            <w:r>
              <w:rPr>
                <w:rFonts w:hint="eastAsia" w:ascii="DejaVu Sans" w:hAnsi="DejaVu Sans" w:eastAsia="宋体" w:cs="DejaVu Sans"/>
                <w:color w:val="000000"/>
                <w:sz w:val="18"/>
                <w:szCs w:val="18"/>
                <w:lang w:val="en-US" w:eastAsia="zh-CN"/>
              </w:rPr>
              <w:t>The full abstract strictly complies with PRISMA abstract standards, covering background, methods, results, conclusions and PROSPERO registration information</w:t>
            </w:r>
          </w:p>
        </w:tc>
      </w:tr>
      <w:tr w14:paraId="30FD2F79">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CC"/>
            <w:tcMar>
              <w:top w:w="0" w:type="dxa"/>
              <w:left w:w="0" w:type="dxa"/>
              <w:bottom w:w="0" w:type="dxa"/>
              <w:right w:w="0" w:type="dxa"/>
            </w:tcMar>
            <w:vAlign w:val="top"/>
          </w:tcPr>
          <w:p w14:paraId="012EECEC">
            <w:pPr>
              <w:spacing w:before="100" w:after="100" w:line="240" w:lineRule="auto"/>
              <w:ind w:left="100" w:right="100" w:firstLine="0"/>
              <w:jc w:val="left"/>
            </w:pPr>
            <w:r>
              <w:rPr>
                <w:rFonts w:ascii="DejaVu Sans" w:hAnsi="DejaVu Sans" w:eastAsia="DejaVu Sans" w:cs="DejaVu Sans"/>
                <w:b/>
                <w:color w:val="000000"/>
                <w:sz w:val="18"/>
                <w:szCs w:val="18"/>
              </w:rPr>
              <w:t>INTRODUCTION</w:t>
            </w:r>
          </w:p>
        </w:tc>
        <w:tc>
          <w:tcPr>
            <w:shd w:val="clear" w:color="auto" w:fill="FFFFCC"/>
            <w:tcMar>
              <w:top w:w="0" w:type="dxa"/>
              <w:left w:w="0" w:type="dxa"/>
              <w:bottom w:w="0" w:type="dxa"/>
              <w:right w:w="0" w:type="dxa"/>
            </w:tcMar>
            <w:vAlign w:val="top"/>
          </w:tcPr>
          <w:p w14:paraId="7265B42D">
            <w:pPr>
              <w:spacing w:before="100" w:after="100" w:line="240" w:lineRule="auto"/>
              <w:ind w:left="100" w:right="100" w:firstLine="0"/>
              <w:jc w:val="center"/>
            </w:pPr>
          </w:p>
        </w:tc>
        <w:tc>
          <w:tcPr>
            <w:shd w:val="clear" w:color="auto" w:fill="FFFFCC"/>
            <w:tcMar>
              <w:top w:w="0" w:type="dxa"/>
              <w:left w:w="0" w:type="dxa"/>
              <w:bottom w:w="0" w:type="dxa"/>
              <w:right w:w="0" w:type="dxa"/>
            </w:tcMar>
            <w:vAlign w:val="top"/>
          </w:tcPr>
          <w:p w14:paraId="27BFDFCC">
            <w:pPr>
              <w:spacing w:before="100" w:after="100" w:line="240" w:lineRule="auto"/>
              <w:ind w:left="100" w:right="100" w:firstLine="0"/>
              <w:jc w:val="left"/>
            </w:pPr>
          </w:p>
        </w:tc>
        <w:tc>
          <w:tcPr>
            <w:tcBorders>
              <w:right w:val="single" w:color="000000" w:sz="8" w:space="0"/>
            </w:tcBorders>
            <w:shd w:val="clear" w:color="auto" w:fill="FFFFCC"/>
            <w:tcMar>
              <w:top w:w="0" w:type="dxa"/>
              <w:left w:w="0" w:type="dxa"/>
              <w:bottom w:w="0" w:type="dxa"/>
              <w:right w:w="0" w:type="dxa"/>
            </w:tcMar>
            <w:vAlign w:val="top"/>
          </w:tcPr>
          <w:p w14:paraId="1EB3A536">
            <w:pPr>
              <w:spacing w:before="100" w:after="100" w:line="240" w:lineRule="auto"/>
              <w:ind w:left="100" w:right="100" w:firstLine="0"/>
              <w:jc w:val="center"/>
            </w:pPr>
          </w:p>
        </w:tc>
      </w:tr>
      <w:tr w14:paraId="7114A69E">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2B6E578E">
            <w:pPr>
              <w:spacing w:before="100" w:after="100" w:line="240" w:lineRule="auto"/>
              <w:ind w:left="100" w:right="100" w:firstLine="0"/>
              <w:jc w:val="left"/>
            </w:pPr>
            <w:r>
              <w:rPr>
                <w:rFonts w:ascii="DejaVu Sans" w:hAnsi="DejaVu Sans" w:eastAsia="DejaVu Sans" w:cs="DejaVu Sans"/>
                <w:b/>
                <w:color w:val="000000"/>
                <w:sz w:val="18"/>
                <w:szCs w:val="18"/>
              </w:rPr>
              <w:t>Rationale</w:t>
            </w:r>
          </w:p>
        </w:tc>
        <w:tc>
          <w:tcPr>
            <w:shd w:val="clear" w:color="auto" w:fill="FFFFFF"/>
            <w:tcMar>
              <w:top w:w="0" w:type="dxa"/>
              <w:left w:w="0" w:type="dxa"/>
              <w:bottom w:w="0" w:type="dxa"/>
              <w:right w:w="0" w:type="dxa"/>
            </w:tcMar>
            <w:vAlign w:val="top"/>
          </w:tcPr>
          <w:p w14:paraId="73E475D1">
            <w:pPr>
              <w:spacing w:before="100" w:after="100" w:line="240" w:lineRule="auto"/>
              <w:ind w:left="100" w:right="100" w:firstLine="0"/>
              <w:jc w:val="center"/>
            </w:pPr>
            <w:r>
              <w:rPr>
                <w:rFonts w:ascii="DejaVu Sans" w:hAnsi="DejaVu Sans" w:eastAsia="DejaVu Sans" w:cs="DejaVu Sans"/>
                <w:color w:val="000000"/>
                <w:sz w:val="18"/>
                <w:szCs w:val="18"/>
              </w:rPr>
              <w:t>3</w:t>
            </w:r>
          </w:p>
        </w:tc>
        <w:tc>
          <w:tcPr>
            <w:shd w:val="clear" w:color="auto" w:fill="FFFFFF"/>
            <w:tcMar>
              <w:top w:w="0" w:type="dxa"/>
              <w:left w:w="0" w:type="dxa"/>
              <w:bottom w:w="0" w:type="dxa"/>
              <w:right w:w="0" w:type="dxa"/>
            </w:tcMar>
            <w:vAlign w:val="top"/>
          </w:tcPr>
          <w:p w14:paraId="0B95D88D">
            <w:pPr>
              <w:spacing w:before="100" w:after="100" w:line="240" w:lineRule="auto"/>
              <w:ind w:left="100" w:right="100" w:firstLine="0"/>
              <w:jc w:val="left"/>
            </w:pPr>
            <w:r>
              <w:rPr>
                <w:rFonts w:ascii="DejaVu Sans" w:hAnsi="DejaVu Sans" w:eastAsia="DejaVu Sans" w:cs="DejaVu Sans"/>
                <w:color w:val="000000"/>
                <w:sz w:val="18"/>
                <w:szCs w:val="18"/>
              </w:rPr>
              <w:t xml:space="preserve">Describe the rationale for the review in the context of existing knowledge. </w:t>
            </w:r>
          </w:p>
        </w:tc>
        <w:tc>
          <w:tcPr>
            <w:tcBorders>
              <w:right w:val="single" w:color="000000" w:sz="8" w:space="0"/>
            </w:tcBorders>
            <w:shd w:val="clear" w:color="auto" w:fill="FFFFFF"/>
            <w:tcMar>
              <w:top w:w="0" w:type="dxa"/>
              <w:left w:w="0" w:type="dxa"/>
              <w:bottom w:w="0" w:type="dxa"/>
              <w:right w:w="0" w:type="dxa"/>
            </w:tcMar>
            <w:vAlign w:val="top"/>
          </w:tcPr>
          <w:p w14:paraId="064CF4A6">
            <w:pPr>
              <w:spacing w:before="100" w:after="100" w:line="240" w:lineRule="auto"/>
              <w:ind w:left="100" w:right="100" w:firstLine="0"/>
              <w:jc w:val="center"/>
            </w:pPr>
            <w:r>
              <w:rPr>
                <w:rFonts w:hint="eastAsia" w:ascii="DejaVu Sans" w:hAnsi="DejaVu Sans" w:eastAsia="DejaVu Sans" w:cs="DejaVu Sans"/>
                <w:color w:val="000000"/>
                <w:sz w:val="18"/>
                <w:szCs w:val="18"/>
              </w:rPr>
              <w:t>Paragraph 2 of Introduction: Elaborates gut-brain axis mechanisms and evidence of gut microbiota dysbiosis in Parkinson’s disease (PD); clarifies the theoretical potential of FMT yet insufficient and inconsistent RCT evidence, demonstrating the necessity of this meta-analysis</w:t>
            </w:r>
          </w:p>
        </w:tc>
      </w:tr>
      <w:tr w14:paraId="0B2E559E">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3E498737">
            <w:pPr>
              <w:spacing w:before="100" w:after="100" w:line="240" w:lineRule="auto"/>
              <w:ind w:left="100" w:right="100" w:firstLine="0"/>
              <w:jc w:val="left"/>
            </w:pPr>
            <w:r>
              <w:rPr>
                <w:rFonts w:ascii="DejaVu Sans" w:hAnsi="DejaVu Sans" w:eastAsia="DejaVu Sans" w:cs="DejaVu Sans"/>
                <w:b/>
                <w:color w:val="000000"/>
                <w:sz w:val="18"/>
                <w:szCs w:val="18"/>
              </w:rPr>
              <w:t>Objectives</w:t>
            </w:r>
          </w:p>
        </w:tc>
        <w:tc>
          <w:tcPr>
            <w:shd w:val="clear" w:color="auto" w:fill="FFFFFF"/>
            <w:tcMar>
              <w:top w:w="0" w:type="dxa"/>
              <w:left w:w="0" w:type="dxa"/>
              <w:bottom w:w="0" w:type="dxa"/>
              <w:right w:w="0" w:type="dxa"/>
            </w:tcMar>
            <w:vAlign w:val="top"/>
          </w:tcPr>
          <w:p w14:paraId="66038D2A">
            <w:pPr>
              <w:spacing w:before="100" w:after="100" w:line="240" w:lineRule="auto"/>
              <w:ind w:left="100" w:right="100" w:firstLine="0"/>
              <w:jc w:val="center"/>
            </w:pPr>
            <w:r>
              <w:rPr>
                <w:rFonts w:ascii="DejaVu Sans" w:hAnsi="DejaVu Sans" w:eastAsia="DejaVu Sans" w:cs="DejaVu Sans"/>
                <w:color w:val="000000"/>
                <w:sz w:val="18"/>
                <w:szCs w:val="18"/>
              </w:rPr>
              <w:t>4</w:t>
            </w:r>
          </w:p>
        </w:tc>
        <w:tc>
          <w:tcPr>
            <w:shd w:val="clear" w:color="auto" w:fill="FFFFFF"/>
            <w:tcMar>
              <w:top w:w="0" w:type="dxa"/>
              <w:left w:w="0" w:type="dxa"/>
              <w:bottom w:w="0" w:type="dxa"/>
              <w:right w:w="0" w:type="dxa"/>
            </w:tcMar>
            <w:vAlign w:val="top"/>
          </w:tcPr>
          <w:p w14:paraId="733EB0CF">
            <w:pPr>
              <w:spacing w:before="100" w:after="100" w:line="240" w:lineRule="auto"/>
              <w:ind w:left="100" w:right="100" w:firstLine="0"/>
              <w:jc w:val="left"/>
            </w:pPr>
            <w:r>
              <w:rPr>
                <w:rFonts w:ascii="DejaVu Sans" w:hAnsi="DejaVu Sans" w:eastAsia="DejaVu Sans" w:cs="DejaVu Sans"/>
                <w:color w:val="000000"/>
                <w:sz w:val="18"/>
                <w:szCs w:val="18"/>
              </w:rPr>
              <w:t>Provide an explicit statement of the objective(s) or question(s) the review addresses.</w:t>
            </w:r>
          </w:p>
        </w:tc>
        <w:tc>
          <w:tcPr>
            <w:tcBorders>
              <w:right w:val="single" w:color="000000" w:sz="8" w:space="0"/>
            </w:tcBorders>
            <w:shd w:val="clear" w:color="auto" w:fill="FFFFFF"/>
            <w:tcMar>
              <w:top w:w="0" w:type="dxa"/>
              <w:left w:w="0" w:type="dxa"/>
              <w:bottom w:w="0" w:type="dxa"/>
              <w:right w:w="0" w:type="dxa"/>
            </w:tcMar>
            <w:vAlign w:val="top"/>
          </w:tcPr>
          <w:p w14:paraId="7FFFB68C">
            <w:pPr>
              <w:spacing w:before="100" w:after="100" w:line="240" w:lineRule="auto"/>
              <w:ind w:left="100" w:right="100" w:firstLine="0"/>
              <w:jc w:val="center"/>
            </w:pPr>
            <w:r>
              <w:rPr>
                <w:rFonts w:hint="eastAsia" w:ascii="DejaVu Sans" w:hAnsi="DejaVu Sans" w:eastAsia="DejaVu Sans" w:cs="DejaVu Sans"/>
                <w:color w:val="000000"/>
                <w:sz w:val="18"/>
                <w:szCs w:val="18"/>
              </w:rPr>
              <w:t>Final paragraph of Introduction: To systematically evaluate the effects of fecal microbiota transplantation (FMT) on motor, non-motor and cognitive outcomes in patients with PD</w:t>
            </w:r>
          </w:p>
        </w:tc>
      </w:tr>
      <w:tr w14:paraId="78255EBB">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CC"/>
            <w:tcMar>
              <w:top w:w="0" w:type="dxa"/>
              <w:left w:w="0" w:type="dxa"/>
              <w:bottom w:w="0" w:type="dxa"/>
              <w:right w:w="0" w:type="dxa"/>
            </w:tcMar>
            <w:vAlign w:val="top"/>
          </w:tcPr>
          <w:p w14:paraId="56BD8FA4">
            <w:pPr>
              <w:spacing w:before="100" w:after="100" w:line="240" w:lineRule="auto"/>
              <w:ind w:left="100" w:right="100" w:firstLine="0"/>
              <w:jc w:val="left"/>
            </w:pPr>
            <w:r>
              <w:rPr>
                <w:rFonts w:ascii="DejaVu Sans" w:hAnsi="DejaVu Sans" w:eastAsia="DejaVu Sans" w:cs="DejaVu Sans"/>
                <w:b/>
                <w:color w:val="000000"/>
                <w:sz w:val="18"/>
                <w:szCs w:val="18"/>
              </w:rPr>
              <w:t>METHODS</w:t>
            </w:r>
          </w:p>
        </w:tc>
        <w:tc>
          <w:tcPr>
            <w:shd w:val="clear" w:color="auto" w:fill="FFFFCC"/>
            <w:tcMar>
              <w:top w:w="0" w:type="dxa"/>
              <w:left w:w="0" w:type="dxa"/>
              <w:bottom w:w="0" w:type="dxa"/>
              <w:right w:w="0" w:type="dxa"/>
            </w:tcMar>
            <w:vAlign w:val="top"/>
          </w:tcPr>
          <w:p w14:paraId="5D866EE6">
            <w:pPr>
              <w:spacing w:before="100" w:after="100" w:line="240" w:lineRule="auto"/>
              <w:ind w:left="100" w:right="100" w:firstLine="0"/>
              <w:jc w:val="center"/>
            </w:pPr>
          </w:p>
        </w:tc>
        <w:tc>
          <w:tcPr>
            <w:shd w:val="clear" w:color="auto" w:fill="FFFFCC"/>
            <w:tcMar>
              <w:top w:w="0" w:type="dxa"/>
              <w:left w:w="0" w:type="dxa"/>
              <w:bottom w:w="0" w:type="dxa"/>
              <w:right w:w="0" w:type="dxa"/>
            </w:tcMar>
            <w:vAlign w:val="top"/>
          </w:tcPr>
          <w:p w14:paraId="55A1E183">
            <w:pPr>
              <w:spacing w:before="100" w:after="100" w:line="240" w:lineRule="auto"/>
              <w:ind w:left="100" w:right="100" w:firstLine="0"/>
              <w:jc w:val="left"/>
            </w:pPr>
          </w:p>
        </w:tc>
        <w:tc>
          <w:tcPr>
            <w:tcBorders>
              <w:right w:val="single" w:color="000000" w:sz="8" w:space="0"/>
            </w:tcBorders>
            <w:shd w:val="clear" w:color="auto" w:fill="FFFFCC"/>
            <w:tcMar>
              <w:top w:w="0" w:type="dxa"/>
              <w:left w:w="0" w:type="dxa"/>
              <w:bottom w:w="0" w:type="dxa"/>
              <w:right w:w="0" w:type="dxa"/>
            </w:tcMar>
            <w:vAlign w:val="top"/>
          </w:tcPr>
          <w:p w14:paraId="00AF65B3">
            <w:pPr>
              <w:spacing w:before="100" w:after="100" w:line="240" w:lineRule="auto"/>
              <w:ind w:left="100" w:right="100" w:firstLine="0"/>
              <w:jc w:val="center"/>
            </w:pPr>
          </w:p>
        </w:tc>
      </w:tr>
      <w:tr w14:paraId="05633E19">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253F0775">
            <w:pPr>
              <w:spacing w:before="100" w:after="100" w:line="240" w:lineRule="auto"/>
              <w:ind w:left="100" w:right="100" w:firstLine="0"/>
              <w:jc w:val="left"/>
            </w:pPr>
            <w:r>
              <w:rPr>
                <w:rFonts w:ascii="DejaVu Sans" w:hAnsi="DejaVu Sans" w:eastAsia="DejaVu Sans" w:cs="DejaVu Sans"/>
                <w:b/>
                <w:color w:val="000000"/>
                <w:sz w:val="18"/>
                <w:szCs w:val="18"/>
              </w:rPr>
              <w:t>Eligibility criteria</w:t>
            </w:r>
          </w:p>
        </w:tc>
        <w:tc>
          <w:tcPr>
            <w:shd w:val="clear" w:color="auto" w:fill="FFFFFF"/>
            <w:tcMar>
              <w:top w:w="0" w:type="dxa"/>
              <w:left w:w="0" w:type="dxa"/>
              <w:bottom w:w="0" w:type="dxa"/>
              <w:right w:w="0" w:type="dxa"/>
            </w:tcMar>
            <w:vAlign w:val="top"/>
          </w:tcPr>
          <w:p w14:paraId="14792B6B">
            <w:pPr>
              <w:spacing w:before="100" w:after="100" w:line="240" w:lineRule="auto"/>
              <w:ind w:left="100" w:right="100" w:firstLine="0"/>
              <w:jc w:val="center"/>
            </w:pPr>
            <w:r>
              <w:rPr>
                <w:rFonts w:ascii="DejaVu Sans" w:hAnsi="DejaVu Sans" w:eastAsia="DejaVu Sans" w:cs="DejaVu Sans"/>
                <w:color w:val="000000"/>
                <w:sz w:val="18"/>
                <w:szCs w:val="18"/>
              </w:rPr>
              <w:t>5</w:t>
            </w:r>
          </w:p>
        </w:tc>
        <w:tc>
          <w:tcPr>
            <w:shd w:val="clear" w:color="auto" w:fill="FFFFFF"/>
            <w:tcMar>
              <w:top w:w="0" w:type="dxa"/>
              <w:left w:w="0" w:type="dxa"/>
              <w:bottom w:w="0" w:type="dxa"/>
              <w:right w:w="0" w:type="dxa"/>
            </w:tcMar>
            <w:vAlign w:val="top"/>
          </w:tcPr>
          <w:p w14:paraId="74B12C68">
            <w:pPr>
              <w:spacing w:before="100" w:after="100" w:line="240" w:lineRule="auto"/>
              <w:ind w:left="100" w:right="100" w:firstLine="0"/>
              <w:jc w:val="left"/>
            </w:pPr>
            <w:r>
              <w:rPr>
                <w:rFonts w:ascii="DejaVu Sans" w:hAnsi="DejaVu Sans" w:eastAsia="DejaVu Sans" w:cs="DejaVu Sans"/>
                <w:color w:val="000000"/>
                <w:sz w:val="18"/>
                <w:szCs w:val="18"/>
              </w:rPr>
              <w:t>Specify the inclusion and exclusion criteria for the review and how studies were grouped for the syntheses.</w:t>
            </w:r>
          </w:p>
        </w:tc>
        <w:tc>
          <w:tcPr>
            <w:tcBorders>
              <w:right w:val="single" w:color="000000" w:sz="8" w:space="0"/>
            </w:tcBorders>
            <w:shd w:val="clear" w:color="auto" w:fill="FFFFFF"/>
            <w:tcMar>
              <w:top w:w="0" w:type="dxa"/>
              <w:left w:w="0" w:type="dxa"/>
              <w:bottom w:w="0" w:type="dxa"/>
              <w:right w:w="0" w:type="dxa"/>
            </w:tcMar>
            <w:vAlign w:val="top"/>
          </w:tcPr>
          <w:p w14:paraId="31AA00C3">
            <w:pPr>
              <w:spacing w:before="100" w:after="100" w:line="240" w:lineRule="auto"/>
              <w:ind w:left="100" w:right="100" w:firstLine="0"/>
              <w:jc w:val="center"/>
            </w:pPr>
            <w:r>
              <w:rPr>
                <w:rFonts w:hint="eastAsia" w:ascii="DejaVu Sans" w:hAnsi="DejaVu Sans" w:eastAsia="DejaVu Sans" w:cs="DejaVu Sans"/>
                <w:color w:val="000000"/>
                <w:sz w:val="18"/>
                <w:szCs w:val="18"/>
              </w:rPr>
              <w:t>Section 2.2 Eligibility Criteria: PICOS framework-based inclusion/exclusion criteria; subgroup meta-analyses stratified by follow-up time points (week 4 / week 12 / week 24) and outcome types (MDS-UPDRS Part I/II/III, MoCA, MMSE)</w:t>
            </w:r>
          </w:p>
        </w:tc>
      </w:tr>
      <w:tr w14:paraId="65EA5DF3">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6C448340">
            <w:pPr>
              <w:spacing w:before="100" w:after="100" w:line="240" w:lineRule="auto"/>
              <w:ind w:left="100" w:right="100" w:firstLine="0"/>
              <w:jc w:val="left"/>
            </w:pPr>
            <w:r>
              <w:rPr>
                <w:rFonts w:ascii="DejaVu Sans" w:hAnsi="DejaVu Sans" w:eastAsia="DejaVu Sans" w:cs="DejaVu Sans"/>
                <w:b/>
                <w:color w:val="000000"/>
                <w:sz w:val="18"/>
                <w:szCs w:val="18"/>
              </w:rPr>
              <w:t>Information sources</w:t>
            </w:r>
          </w:p>
        </w:tc>
        <w:tc>
          <w:tcPr>
            <w:shd w:val="clear" w:color="auto" w:fill="FFFFFF"/>
            <w:tcMar>
              <w:top w:w="0" w:type="dxa"/>
              <w:left w:w="0" w:type="dxa"/>
              <w:bottom w:w="0" w:type="dxa"/>
              <w:right w:w="0" w:type="dxa"/>
            </w:tcMar>
            <w:vAlign w:val="top"/>
          </w:tcPr>
          <w:p w14:paraId="0CCA204A">
            <w:pPr>
              <w:spacing w:before="100" w:after="100" w:line="240" w:lineRule="auto"/>
              <w:ind w:left="100" w:right="100" w:firstLine="0"/>
              <w:jc w:val="center"/>
            </w:pPr>
            <w:r>
              <w:rPr>
                <w:rFonts w:ascii="DejaVu Sans" w:hAnsi="DejaVu Sans" w:eastAsia="DejaVu Sans" w:cs="DejaVu Sans"/>
                <w:color w:val="000000"/>
                <w:sz w:val="18"/>
                <w:szCs w:val="18"/>
              </w:rPr>
              <w:t>6</w:t>
            </w:r>
          </w:p>
        </w:tc>
        <w:tc>
          <w:tcPr>
            <w:shd w:val="clear" w:color="auto" w:fill="FFFFFF"/>
            <w:tcMar>
              <w:top w:w="0" w:type="dxa"/>
              <w:left w:w="0" w:type="dxa"/>
              <w:bottom w:w="0" w:type="dxa"/>
              <w:right w:w="0" w:type="dxa"/>
            </w:tcMar>
            <w:vAlign w:val="top"/>
          </w:tcPr>
          <w:p w14:paraId="7BA413F0">
            <w:pPr>
              <w:spacing w:before="100" w:after="100" w:line="240" w:lineRule="auto"/>
              <w:ind w:left="100" w:right="100" w:firstLine="0"/>
              <w:jc w:val="left"/>
            </w:pPr>
            <w:r>
              <w:rPr>
                <w:rFonts w:ascii="DejaVu Sans" w:hAnsi="DejaVu Sans" w:eastAsia="DejaVu Sans" w:cs="DejaVu Sans"/>
                <w:color w:val="000000"/>
                <w:sz w:val="18"/>
                <w:szCs w:val="18"/>
              </w:rPr>
              <w:t>Specify all databases, registers, websites, organisations, reference lists and other sources searched or consulted to identify studies. Specify the date when each source was last searched or consulted.</w:t>
            </w:r>
          </w:p>
        </w:tc>
        <w:tc>
          <w:tcPr>
            <w:tcBorders>
              <w:right w:val="single" w:color="000000" w:sz="8" w:space="0"/>
            </w:tcBorders>
            <w:shd w:val="clear" w:color="auto" w:fill="FFFFFF"/>
            <w:tcMar>
              <w:top w:w="0" w:type="dxa"/>
              <w:left w:w="0" w:type="dxa"/>
              <w:bottom w:w="0" w:type="dxa"/>
              <w:right w:w="0" w:type="dxa"/>
            </w:tcMar>
            <w:vAlign w:val="top"/>
          </w:tcPr>
          <w:p w14:paraId="476522BA">
            <w:pPr>
              <w:spacing w:before="100" w:after="100" w:line="240" w:lineRule="auto"/>
              <w:ind w:left="100" w:right="100" w:firstLine="0"/>
              <w:jc w:val="center"/>
            </w:pPr>
            <w:r>
              <w:rPr>
                <w:rFonts w:hint="eastAsia" w:ascii="DejaVu Sans" w:hAnsi="DejaVu Sans" w:eastAsia="DejaVu Sans" w:cs="DejaVu Sans"/>
                <w:color w:val="000000"/>
                <w:sz w:val="18"/>
                <w:szCs w:val="18"/>
              </w:rPr>
              <w:t>Section 2.1 Data Sources and Search Strategy: Databases including PubMed, Ovid Embase, Scopus and Cochrane CENTRAL; search deadline: 15 September 2025; manual screening of reference lists of included articles and relevant reviews; ClinicalTrials.gov was not searched</w:t>
            </w:r>
          </w:p>
        </w:tc>
      </w:tr>
      <w:tr w14:paraId="61835AEC">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652D7CE9">
            <w:pPr>
              <w:spacing w:before="100" w:after="100" w:line="240" w:lineRule="auto"/>
              <w:ind w:left="100" w:right="100" w:firstLine="0"/>
              <w:jc w:val="left"/>
            </w:pPr>
            <w:r>
              <w:rPr>
                <w:rFonts w:ascii="DejaVu Sans" w:hAnsi="DejaVu Sans" w:eastAsia="DejaVu Sans" w:cs="DejaVu Sans"/>
                <w:b/>
                <w:color w:val="000000"/>
                <w:sz w:val="18"/>
                <w:szCs w:val="18"/>
              </w:rPr>
              <w:t>Search strategy</w:t>
            </w:r>
          </w:p>
        </w:tc>
        <w:tc>
          <w:tcPr>
            <w:shd w:val="clear" w:color="auto" w:fill="FFFFFF"/>
            <w:tcMar>
              <w:top w:w="0" w:type="dxa"/>
              <w:left w:w="0" w:type="dxa"/>
              <w:bottom w:w="0" w:type="dxa"/>
              <w:right w:w="0" w:type="dxa"/>
            </w:tcMar>
            <w:vAlign w:val="top"/>
          </w:tcPr>
          <w:p w14:paraId="3945166E">
            <w:pPr>
              <w:spacing w:before="100" w:after="100" w:line="240" w:lineRule="auto"/>
              <w:ind w:left="100" w:right="100" w:firstLine="0"/>
              <w:jc w:val="center"/>
            </w:pPr>
            <w:r>
              <w:rPr>
                <w:rFonts w:ascii="DejaVu Sans" w:hAnsi="DejaVu Sans" w:eastAsia="DejaVu Sans" w:cs="DejaVu Sans"/>
                <w:color w:val="000000"/>
                <w:sz w:val="18"/>
                <w:szCs w:val="18"/>
              </w:rPr>
              <w:t>7</w:t>
            </w:r>
          </w:p>
        </w:tc>
        <w:tc>
          <w:tcPr>
            <w:shd w:val="clear" w:color="auto" w:fill="FFFFFF"/>
            <w:tcMar>
              <w:top w:w="0" w:type="dxa"/>
              <w:left w:w="0" w:type="dxa"/>
              <w:bottom w:w="0" w:type="dxa"/>
              <w:right w:w="0" w:type="dxa"/>
            </w:tcMar>
            <w:vAlign w:val="top"/>
          </w:tcPr>
          <w:p w14:paraId="6B733845">
            <w:pPr>
              <w:spacing w:before="100" w:after="100" w:line="240" w:lineRule="auto"/>
              <w:ind w:left="100" w:right="100" w:firstLine="0"/>
              <w:jc w:val="left"/>
            </w:pPr>
            <w:r>
              <w:rPr>
                <w:rFonts w:ascii="DejaVu Sans" w:hAnsi="DejaVu Sans" w:eastAsia="DejaVu Sans" w:cs="DejaVu Sans"/>
                <w:color w:val="000000"/>
                <w:sz w:val="18"/>
                <w:szCs w:val="18"/>
              </w:rPr>
              <w:t>Present the full search strategies for all databases, registers and websites, including any filters and limits used.</w:t>
            </w:r>
          </w:p>
        </w:tc>
        <w:tc>
          <w:tcPr>
            <w:tcBorders>
              <w:right w:val="single" w:color="000000" w:sz="8" w:space="0"/>
            </w:tcBorders>
            <w:shd w:val="clear" w:color="auto" w:fill="FFFFFF"/>
            <w:tcMar>
              <w:top w:w="0" w:type="dxa"/>
              <w:left w:w="0" w:type="dxa"/>
              <w:bottom w:w="0" w:type="dxa"/>
              <w:right w:w="0" w:type="dxa"/>
            </w:tcMar>
            <w:vAlign w:val="top"/>
          </w:tcPr>
          <w:p w14:paraId="00C9204B">
            <w:pPr>
              <w:spacing w:before="100" w:after="100" w:line="240" w:lineRule="auto"/>
              <w:ind w:left="100" w:right="100" w:firstLine="0"/>
              <w:jc w:val="center"/>
            </w:pPr>
            <w:r>
              <w:rPr>
                <w:rFonts w:hint="eastAsia" w:ascii="DejaVu Sans" w:hAnsi="DejaVu Sans" w:eastAsia="DejaVu Sans" w:cs="DejaVu Sans"/>
                <w:color w:val="000000"/>
                <w:sz w:val="18"/>
                <w:szCs w:val="18"/>
              </w:rPr>
              <w:t>Section 2.1 states database-specific adapted search syntax; full search strings are provided in this supplementary material</w:t>
            </w:r>
          </w:p>
        </w:tc>
      </w:tr>
      <w:tr w14:paraId="44F2BE68">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2A63AEC7">
            <w:pPr>
              <w:spacing w:before="100" w:after="100" w:line="240" w:lineRule="auto"/>
              <w:ind w:left="100" w:right="100" w:firstLine="0"/>
              <w:jc w:val="left"/>
            </w:pPr>
            <w:r>
              <w:rPr>
                <w:rFonts w:ascii="DejaVu Sans" w:hAnsi="DejaVu Sans" w:eastAsia="DejaVu Sans" w:cs="DejaVu Sans"/>
                <w:b/>
                <w:color w:val="000000"/>
                <w:sz w:val="18"/>
                <w:szCs w:val="18"/>
              </w:rPr>
              <w:t>Selection process</w:t>
            </w:r>
          </w:p>
        </w:tc>
        <w:tc>
          <w:tcPr>
            <w:shd w:val="clear" w:color="auto" w:fill="FFFFFF"/>
            <w:tcMar>
              <w:top w:w="0" w:type="dxa"/>
              <w:left w:w="0" w:type="dxa"/>
              <w:bottom w:w="0" w:type="dxa"/>
              <w:right w:w="0" w:type="dxa"/>
            </w:tcMar>
            <w:vAlign w:val="top"/>
          </w:tcPr>
          <w:p w14:paraId="28B862BD">
            <w:pPr>
              <w:spacing w:before="100" w:after="100" w:line="240" w:lineRule="auto"/>
              <w:ind w:left="100" w:right="100" w:firstLine="0"/>
              <w:jc w:val="center"/>
            </w:pPr>
            <w:r>
              <w:rPr>
                <w:rFonts w:ascii="DejaVu Sans" w:hAnsi="DejaVu Sans" w:eastAsia="DejaVu Sans" w:cs="DejaVu Sans"/>
                <w:color w:val="000000"/>
                <w:sz w:val="18"/>
                <w:szCs w:val="18"/>
              </w:rPr>
              <w:t>8</w:t>
            </w:r>
          </w:p>
        </w:tc>
        <w:tc>
          <w:tcPr>
            <w:shd w:val="clear" w:color="auto" w:fill="FFFFFF"/>
            <w:tcMar>
              <w:top w:w="0" w:type="dxa"/>
              <w:left w:w="0" w:type="dxa"/>
              <w:bottom w:w="0" w:type="dxa"/>
              <w:right w:w="0" w:type="dxa"/>
            </w:tcMar>
            <w:vAlign w:val="top"/>
          </w:tcPr>
          <w:p w14:paraId="3FDB918E">
            <w:pPr>
              <w:spacing w:before="100" w:after="100" w:line="240" w:lineRule="auto"/>
              <w:ind w:left="100" w:right="100" w:firstLine="0"/>
              <w:jc w:val="left"/>
            </w:pPr>
            <w:r>
              <w:rPr>
                <w:rFonts w:ascii="DejaVu Sans" w:hAnsi="DejaVu Sans" w:eastAsia="DejaVu Sans" w:cs="DejaVu Sans"/>
                <w:color w:val="000000"/>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Borders>
              <w:right w:val="single" w:color="000000" w:sz="8" w:space="0"/>
            </w:tcBorders>
            <w:shd w:val="clear" w:color="auto" w:fill="FFFFFF"/>
            <w:tcMar>
              <w:top w:w="0" w:type="dxa"/>
              <w:left w:w="0" w:type="dxa"/>
              <w:bottom w:w="0" w:type="dxa"/>
              <w:right w:w="0" w:type="dxa"/>
            </w:tcMar>
            <w:vAlign w:val="top"/>
          </w:tcPr>
          <w:p w14:paraId="34FE19E1">
            <w:pPr>
              <w:spacing w:before="100" w:after="100" w:line="240" w:lineRule="auto"/>
              <w:ind w:left="100" w:right="100" w:firstLine="0"/>
              <w:jc w:val="center"/>
            </w:pPr>
            <w:r>
              <w:rPr>
                <w:rFonts w:hint="eastAsia" w:ascii="DejaVu Sans" w:hAnsi="DejaVu Sans" w:eastAsia="DejaVu Sans" w:cs="DejaVu Sans"/>
                <w:color w:val="000000"/>
                <w:sz w:val="18"/>
                <w:szCs w:val="18"/>
              </w:rPr>
              <w:t>Section 2.3 Study Selection: All citations imported to EndNote 21 for duplicate removal; two independent reviewers screened titles/abstracts then full texts; disagreements resolved via discussion or consultation with a third reviewer; selection workflow visualized in PRISMA flow diagram (Figure 1)</w:t>
            </w:r>
          </w:p>
        </w:tc>
      </w:tr>
      <w:tr w14:paraId="1C129DBB">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7E84BA09">
            <w:pPr>
              <w:spacing w:before="100" w:after="100" w:line="240" w:lineRule="auto"/>
              <w:ind w:left="100" w:right="100" w:firstLine="0"/>
              <w:jc w:val="left"/>
            </w:pPr>
            <w:r>
              <w:rPr>
                <w:rFonts w:ascii="DejaVu Sans" w:hAnsi="DejaVu Sans" w:eastAsia="DejaVu Sans" w:cs="DejaVu Sans"/>
                <w:b/>
                <w:color w:val="000000"/>
                <w:sz w:val="18"/>
                <w:szCs w:val="18"/>
              </w:rPr>
              <w:t>Data collection process</w:t>
            </w:r>
          </w:p>
        </w:tc>
        <w:tc>
          <w:tcPr>
            <w:shd w:val="clear" w:color="auto" w:fill="FFFFFF"/>
            <w:tcMar>
              <w:top w:w="0" w:type="dxa"/>
              <w:left w:w="0" w:type="dxa"/>
              <w:bottom w:w="0" w:type="dxa"/>
              <w:right w:w="0" w:type="dxa"/>
            </w:tcMar>
            <w:vAlign w:val="top"/>
          </w:tcPr>
          <w:p w14:paraId="6150B1DF">
            <w:pPr>
              <w:spacing w:before="100" w:after="100" w:line="240" w:lineRule="auto"/>
              <w:ind w:left="100" w:right="100" w:firstLine="0"/>
              <w:jc w:val="center"/>
            </w:pPr>
            <w:r>
              <w:rPr>
                <w:rFonts w:ascii="DejaVu Sans" w:hAnsi="DejaVu Sans" w:eastAsia="DejaVu Sans" w:cs="DejaVu Sans"/>
                <w:color w:val="000000"/>
                <w:sz w:val="18"/>
                <w:szCs w:val="18"/>
              </w:rPr>
              <w:t>9</w:t>
            </w:r>
          </w:p>
        </w:tc>
        <w:tc>
          <w:tcPr>
            <w:shd w:val="clear" w:color="auto" w:fill="FFFFFF"/>
            <w:tcMar>
              <w:top w:w="0" w:type="dxa"/>
              <w:left w:w="0" w:type="dxa"/>
              <w:bottom w:w="0" w:type="dxa"/>
              <w:right w:w="0" w:type="dxa"/>
            </w:tcMar>
            <w:vAlign w:val="top"/>
          </w:tcPr>
          <w:p w14:paraId="6005D3F4">
            <w:pPr>
              <w:spacing w:before="100" w:after="100" w:line="240" w:lineRule="auto"/>
              <w:ind w:left="100" w:right="100" w:firstLine="0"/>
              <w:jc w:val="left"/>
            </w:pPr>
            <w:r>
              <w:rPr>
                <w:rFonts w:ascii="DejaVu Sans" w:hAnsi="DejaVu Sans" w:eastAsia="DejaVu Sans" w:cs="DejaVu Sans"/>
                <w:color w:val="000000"/>
                <w:sz w:val="18"/>
                <w:szCs w:val="18"/>
              </w:rPr>
              <w:t xml:space="preserve">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 </w:t>
            </w:r>
          </w:p>
        </w:tc>
        <w:tc>
          <w:tcPr>
            <w:tcBorders>
              <w:right w:val="single" w:color="000000" w:sz="8" w:space="0"/>
            </w:tcBorders>
            <w:shd w:val="clear" w:color="auto" w:fill="FFFFFF"/>
            <w:tcMar>
              <w:top w:w="0" w:type="dxa"/>
              <w:left w:w="0" w:type="dxa"/>
              <w:bottom w:w="0" w:type="dxa"/>
              <w:right w:w="0" w:type="dxa"/>
            </w:tcMar>
            <w:vAlign w:val="top"/>
          </w:tcPr>
          <w:p w14:paraId="3F140B15">
            <w:pPr>
              <w:spacing w:before="100" w:after="100" w:line="240" w:lineRule="auto"/>
              <w:ind w:left="100" w:right="100" w:firstLine="0"/>
              <w:jc w:val="center"/>
            </w:pPr>
            <w:r>
              <w:rPr>
                <w:rFonts w:hint="eastAsia" w:ascii="DejaVu Sans" w:hAnsi="DejaVu Sans" w:eastAsia="DejaVu Sans" w:cs="DejaVu Sans"/>
                <w:color w:val="000000"/>
                <w:sz w:val="18"/>
                <w:szCs w:val="18"/>
              </w:rPr>
              <w:t>Section 2.4 Data Extraction and Quality Assessment: Two independent reviewers extracted data via standardized Microsoft Excel forms; discrepancies adjudicated by a third reviewer; no contact with original trial authors for unpublished raw data</w:t>
            </w:r>
          </w:p>
        </w:tc>
      </w:tr>
      <w:tr w14:paraId="687AD930">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6BA5C5D4">
            <w:pPr>
              <w:spacing w:before="100" w:after="100" w:line="240" w:lineRule="auto"/>
              <w:ind w:left="100" w:right="100" w:firstLine="0"/>
              <w:jc w:val="left"/>
            </w:pPr>
            <w:r>
              <w:rPr>
                <w:rFonts w:ascii="DejaVu Sans" w:hAnsi="DejaVu Sans" w:eastAsia="DejaVu Sans" w:cs="DejaVu Sans"/>
                <w:b/>
                <w:color w:val="000000"/>
                <w:sz w:val="18"/>
                <w:szCs w:val="18"/>
              </w:rPr>
              <w:t>Data items</w:t>
            </w:r>
          </w:p>
        </w:tc>
        <w:tc>
          <w:tcPr>
            <w:shd w:val="clear" w:color="auto" w:fill="FFFFFF"/>
            <w:tcMar>
              <w:top w:w="0" w:type="dxa"/>
              <w:left w:w="0" w:type="dxa"/>
              <w:bottom w:w="0" w:type="dxa"/>
              <w:right w:w="0" w:type="dxa"/>
            </w:tcMar>
            <w:vAlign w:val="top"/>
          </w:tcPr>
          <w:p w14:paraId="6FB25B33">
            <w:pPr>
              <w:spacing w:before="100" w:after="100" w:line="240" w:lineRule="auto"/>
              <w:ind w:left="100" w:right="100" w:firstLine="0"/>
              <w:jc w:val="center"/>
            </w:pPr>
            <w:r>
              <w:rPr>
                <w:rFonts w:ascii="DejaVu Sans" w:hAnsi="DejaVu Sans" w:eastAsia="DejaVu Sans" w:cs="DejaVu Sans"/>
                <w:color w:val="000000"/>
                <w:sz w:val="18"/>
                <w:szCs w:val="18"/>
              </w:rPr>
              <w:t>10a</w:t>
            </w:r>
          </w:p>
        </w:tc>
        <w:tc>
          <w:tcPr>
            <w:shd w:val="clear" w:color="auto" w:fill="FFFFFF"/>
            <w:tcMar>
              <w:top w:w="0" w:type="dxa"/>
              <w:left w:w="0" w:type="dxa"/>
              <w:bottom w:w="0" w:type="dxa"/>
              <w:right w:w="0" w:type="dxa"/>
            </w:tcMar>
            <w:vAlign w:val="top"/>
          </w:tcPr>
          <w:p w14:paraId="185518F9">
            <w:pPr>
              <w:spacing w:before="100" w:after="100" w:line="240" w:lineRule="auto"/>
              <w:ind w:left="100" w:right="100" w:firstLine="0"/>
              <w:jc w:val="left"/>
            </w:pPr>
            <w:r>
              <w:rPr>
                <w:rFonts w:ascii="DejaVu Sans" w:hAnsi="DejaVu Sans" w:eastAsia="DejaVu Sans" w:cs="DejaVu Sans"/>
                <w:color w:val="000000"/>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Borders>
              <w:right w:val="single" w:color="000000" w:sz="8" w:space="0"/>
            </w:tcBorders>
            <w:shd w:val="clear" w:color="auto" w:fill="FFFFFF"/>
            <w:tcMar>
              <w:top w:w="0" w:type="dxa"/>
              <w:left w:w="0" w:type="dxa"/>
              <w:bottom w:w="0" w:type="dxa"/>
              <w:right w:w="0" w:type="dxa"/>
            </w:tcMar>
            <w:vAlign w:val="top"/>
          </w:tcPr>
          <w:p w14:paraId="6033A674">
            <w:pPr>
              <w:spacing w:before="100" w:after="100" w:line="240" w:lineRule="auto"/>
              <w:ind w:left="100" w:right="100" w:firstLine="0"/>
              <w:jc w:val="center"/>
            </w:pPr>
            <w:r>
              <w:rPr>
                <w:rFonts w:hint="eastAsia" w:ascii="DejaVu Sans" w:hAnsi="DejaVu Sans" w:eastAsia="DejaVu Sans" w:cs="DejaVu Sans"/>
                <w:color w:val="000000"/>
                <w:sz w:val="18"/>
                <w:szCs w:val="18"/>
              </w:rPr>
              <w:t>Section 2.4: Primary outcomes = changes in MDS-UPDRS Part I/II/III at predefined follow-ups; secondary outcomes = MoCA and MMSE cognitive score changes; all quantifiable data at week 4/12/24 were extracted</w:t>
            </w:r>
            <w:r>
              <w:rPr>
                <w:rFonts w:ascii="DejaVu Sans" w:hAnsi="DejaVu Sans" w:eastAsia="DejaVu Sans" w:cs="DejaVu Sans"/>
                <w:color w:val="000000"/>
                <w:sz w:val="18"/>
                <w:szCs w:val="18"/>
              </w:rPr>
              <w:t>)</w:t>
            </w:r>
          </w:p>
        </w:tc>
      </w:tr>
      <w:tr w14:paraId="76716225">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19797BAA">
            <w:pPr>
              <w:spacing w:before="100" w:after="100" w:line="240" w:lineRule="auto"/>
              <w:ind w:left="100" w:right="100" w:firstLine="0"/>
              <w:jc w:val="left"/>
            </w:pPr>
          </w:p>
        </w:tc>
        <w:tc>
          <w:tcPr>
            <w:shd w:val="clear" w:color="auto" w:fill="FFFFFF"/>
            <w:tcMar>
              <w:top w:w="0" w:type="dxa"/>
              <w:left w:w="0" w:type="dxa"/>
              <w:bottom w:w="0" w:type="dxa"/>
              <w:right w:w="0" w:type="dxa"/>
            </w:tcMar>
            <w:vAlign w:val="top"/>
          </w:tcPr>
          <w:p w14:paraId="53CC0CC1">
            <w:pPr>
              <w:spacing w:before="100" w:after="100" w:line="240" w:lineRule="auto"/>
              <w:ind w:left="100" w:right="100" w:firstLine="0"/>
              <w:jc w:val="center"/>
            </w:pPr>
            <w:r>
              <w:rPr>
                <w:rFonts w:ascii="DejaVu Sans" w:hAnsi="DejaVu Sans" w:eastAsia="DejaVu Sans" w:cs="DejaVu Sans"/>
                <w:color w:val="000000"/>
                <w:sz w:val="18"/>
                <w:szCs w:val="18"/>
              </w:rPr>
              <w:t>10b</w:t>
            </w:r>
          </w:p>
        </w:tc>
        <w:tc>
          <w:tcPr>
            <w:shd w:val="clear" w:color="auto" w:fill="FFFFFF"/>
            <w:tcMar>
              <w:top w:w="0" w:type="dxa"/>
              <w:left w:w="0" w:type="dxa"/>
              <w:bottom w:w="0" w:type="dxa"/>
              <w:right w:w="0" w:type="dxa"/>
            </w:tcMar>
            <w:vAlign w:val="top"/>
          </w:tcPr>
          <w:p w14:paraId="38702F63">
            <w:pPr>
              <w:spacing w:before="100" w:after="100" w:line="240" w:lineRule="auto"/>
              <w:ind w:left="100" w:right="100" w:firstLine="0"/>
              <w:jc w:val="left"/>
            </w:pPr>
            <w:r>
              <w:rPr>
                <w:rFonts w:ascii="DejaVu Sans" w:hAnsi="DejaVu Sans" w:eastAsia="DejaVu Sans" w:cs="DejaVu Sans"/>
                <w:color w:val="000000"/>
                <w:sz w:val="18"/>
                <w:szCs w:val="18"/>
              </w:rPr>
              <w:t>List and define all other variables for which data were sought (e.g. participant and intervention characteristics, funding sources). Describe any assumptions made about any missing or unclear information.</w:t>
            </w:r>
          </w:p>
        </w:tc>
        <w:tc>
          <w:tcPr>
            <w:tcBorders>
              <w:right w:val="single" w:color="000000" w:sz="8" w:space="0"/>
            </w:tcBorders>
            <w:shd w:val="clear" w:color="auto" w:fill="FFFFFF"/>
            <w:tcMar>
              <w:top w:w="0" w:type="dxa"/>
              <w:left w:w="0" w:type="dxa"/>
              <w:bottom w:w="0" w:type="dxa"/>
              <w:right w:w="0" w:type="dxa"/>
            </w:tcMar>
            <w:vAlign w:val="top"/>
          </w:tcPr>
          <w:p w14:paraId="13470F0B">
            <w:pPr>
              <w:spacing w:before="100" w:after="100" w:line="240" w:lineRule="auto"/>
              <w:ind w:left="100" w:right="100" w:firstLine="0"/>
              <w:jc w:val="center"/>
            </w:pPr>
            <w:r>
              <w:rPr>
                <w:rFonts w:hint="eastAsia" w:ascii="DejaVu Sans" w:hAnsi="DejaVu Sans" w:eastAsia="DejaVu Sans" w:cs="DejaVu Sans"/>
                <w:color w:val="000000"/>
                <w:sz w:val="18"/>
                <w:szCs w:val="18"/>
              </w:rPr>
              <w:t>Extracted covariates: study location, sample size, baseline age/BMI/PD duration, FMT protocols (fecal material type, administration route, dosing frequency), control regimens, follow-up length; missing SD of change calculated with correlation coefficient r=0.3/0.5/0.7; medians converted to means via Wan’s method</w:t>
            </w:r>
          </w:p>
        </w:tc>
      </w:tr>
      <w:tr w14:paraId="273E95E6">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101F9FC1">
            <w:pPr>
              <w:spacing w:before="100" w:after="100" w:line="240" w:lineRule="auto"/>
              <w:ind w:left="100" w:right="100" w:firstLine="0"/>
              <w:jc w:val="left"/>
            </w:pPr>
            <w:r>
              <w:rPr>
                <w:rFonts w:ascii="DejaVu Sans" w:hAnsi="DejaVu Sans" w:eastAsia="DejaVu Sans" w:cs="DejaVu Sans"/>
                <w:b/>
                <w:color w:val="000000"/>
                <w:sz w:val="18"/>
                <w:szCs w:val="18"/>
              </w:rPr>
              <w:t>Study risk of bias assessment</w:t>
            </w:r>
          </w:p>
        </w:tc>
        <w:tc>
          <w:tcPr>
            <w:shd w:val="clear" w:color="auto" w:fill="FFFFFF"/>
            <w:tcMar>
              <w:top w:w="0" w:type="dxa"/>
              <w:left w:w="0" w:type="dxa"/>
              <w:bottom w:w="0" w:type="dxa"/>
              <w:right w:w="0" w:type="dxa"/>
            </w:tcMar>
            <w:vAlign w:val="top"/>
          </w:tcPr>
          <w:p w14:paraId="63CB667A">
            <w:pPr>
              <w:spacing w:before="100" w:after="100" w:line="240" w:lineRule="auto"/>
              <w:ind w:left="100" w:right="100" w:firstLine="0"/>
              <w:jc w:val="center"/>
            </w:pPr>
            <w:r>
              <w:rPr>
                <w:rFonts w:ascii="DejaVu Sans" w:hAnsi="DejaVu Sans" w:eastAsia="DejaVu Sans" w:cs="DejaVu Sans"/>
                <w:color w:val="000000"/>
                <w:sz w:val="18"/>
                <w:szCs w:val="18"/>
              </w:rPr>
              <w:t>11</w:t>
            </w:r>
          </w:p>
        </w:tc>
        <w:tc>
          <w:tcPr>
            <w:shd w:val="clear" w:color="auto" w:fill="FFFFFF"/>
            <w:tcMar>
              <w:top w:w="0" w:type="dxa"/>
              <w:left w:w="0" w:type="dxa"/>
              <w:bottom w:w="0" w:type="dxa"/>
              <w:right w:w="0" w:type="dxa"/>
            </w:tcMar>
            <w:vAlign w:val="top"/>
          </w:tcPr>
          <w:p w14:paraId="47696F98">
            <w:pPr>
              <w:spacing w:before="100" w:after="100" w:line="240" w:lineRule="auto"/>
              <w:ind w:left="100" w:right="100" w:firstLine="0"/>
              <w:jc w:val="left"/>
            </w:pPr>
            <w:r>
              <w:rPr>
                <w:rFonts w:ascii="DejaVu Sans" w:hAnsi="DejaVu Sans" w:eastAsia="DejaVu Sans" w:cs="DejaVu Sans"/>
                <w:color w:val="000000"/>
                <w:sz w:val="18"/>
                <w:szCs w:val="18"/>
              </w:rPr>
              <w:t xml:space="preserve">Specify the methods used to assess risk of bias in the included studies, including details of the tool(s) used, how many reviewers assessed each study and whether they worked independently, and if applicable, details of automation tools used in the process. </w:t>
            </w:r>
          </w:p>
        </w:tc>
        <w:tc>
          <w:tcPr>
            <w:tcBorders>
              <w:right w:val="single" w:color="000000" w:sz="8" w:space="0"/>
            </w:tcBorders>
            <w:shd w:val="clear" w:color="auto" w:fill="FFFFFF"/>
            <w:tcMar>
              <w:top w:w="0" w:type="dxa"/>
              <w:left w:w="0" w:type="dxa"/>
              <w:bottom w:w="0" w:type="dxa"/>
              <w:right w:w="0" w:type="dxa"/>
            </w:tcMar>
            <w:vAlign w:val="top"/>
          </w:tcPr>
          <w:p w14:paraId="049BF76E">
            <w:pPr>
              <w:spacing w:before="100" w:after="100" w:line="240" w:lineRule="auto"/>
              <w:ind w:left="100" w:right="100" w:firstLine="0"/>
              <w:jc w:val="center"/>
            </w:pPr>
            <w:r>
              <w:rPr>
                <w:rFonts w:hint="eastAsia" w:ascii="DejaVu Sans" w:hAnsi="DejaVu Sans" w:eastAsia="DejaVu Sans" w:cs="DejaVu Sans"/>
                <w:color w:val="000000"/>
                <w:sz w:val="18"/>
                <w:szCs w:val="18"/>
              </w:rPr>
              <w:t>Section 2.4: Cochrane Risk of Bias Tool for RCTs adopted; two independent raters evaluated random sequence generation, allocation concealment, blinding, incomplete outcome data and selective reporting; disagreements resolved by a third reviewer; results summarized in Figure 2 and Figure 3</w:t>
            </w:r>
          </w:p>
        </w:tc>
      </w:tr>
      <w:tr w14:paraId="26A07E1D">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6E2C52AD">
            <w:pPr>
              <w:spacing w:before="100" w:after="100" w:line="240" w:lineRule="auto"/>
              <w:ind w:left="100" w:right="100" w:firstLine="0"/>
              <w:jc w:val="left"/>
            </w:pPr>
            <w:r>
              <w:rPr>
                <w:rFonts w:ascii="DejaVu Sans" w:hAnsi="DejaVu Sans" w:eastAsia="DejaVu Sans" w:cs="DejaVu Sans"/>
                <w:b/>
                <w:color w:val="000000"/>
                <w:sz w:val="18"/>
                <w:szCs w:val="18"/>
              </w:rPr>
              <w:t>Effect measures</w:t>
            </w:r>
          </w:p>
        </w:tc>
        <w:tc>
          <w:tcPr>
            <w:shd w:val="clear" w:color="auto" w:fill="FFFFFF"/>
            <w:tcMar>
              <w:top w:w="0" w:type="dxa"/>
              <w:left w:w="0" w:type="dxa"/>
              <w:bottom w:w="0" w:type="dxa"/>
              <w:right w:w="0" w:type="dxa"/>
            </w:tcMar>
            <w:vAlign w:val="top"/>
          </w:tcPr>
          <w:p w14:paraId="2C5E0077">
            <w:pPr>
              <w:spacing w:before="100" w:after="100" w:line="240" w:lineRule="auto"/>
              <w:ind w:left="100" w:right="100" w:firstLine="0"/>
              <w:jc w:val="center"/>
            </w:pPr>
            <w:r>
              <w:rPr>
                <w:rFonts w:ascii="DejaVu Sans" w:hAnsi="DejaVu Sans" w:eastAsia="DejaVu Sans" w:cs="DejaVu Sans"/>
                <w:color w:val="000000"/>
                <w:sz w:val="18"/>
                <w:szCs w:val="18"/>
              </w:rPr>
              <w:t>12</w:t>
            </w:r>
          </w:p>
        </w:tc>
        <w:tc>
          <w:tcPr>
            <w:shd w:val="clear" w:color="auto" w:fill="FFFFFF"/>
            <w:tcMar>
              <w:top w:w="0" w:type="dxa"/>
              <w:left w:w="0" w:type="dxa"/>
              <w:bottom w:w="0" w:type="dxa"/>
              <w:right w:w="0" w:type="dxa"/>
            </w:tcMar>
            <w:vAlign w:val="top"/>
          </w:tcPr>
          <w:p w14:paraId="5B70C9FE">
            <w:pPr>
              <w:spacing w:before="100" w:after="100" w:line="240" w:lineRule="auto"/>
              <w:ind w:left="100" w:right="100" w:firstLine="0"/>
              <w:jc w:val="left"/>
            </w:pPr>
            <w:r>
              <w:rPr>
                <w:rFonts w:ascii="DejaVu Sans" w:hAnsi="DejaVu Sans" w:eastAsia="DejaVu Sans" w:cs="DejaVu Sans"/>
                <w:color w:val="000000"/>
                <w:sz w:val="18"/>
                <w:szCs w:val="18"/>
              </w:rPr>
              <w:t>Specify for each outcome the effect measure(s) (e.g. risk ratio, mean difference) used in the synthesis or presentation of results.</w:t>
            </w:r>
          </w:p>
        </w:tc>
        <w:tc>
          <w:tcPr>
            <w:tcBorders>
              <w:right w:val="single" w:color="000000" w:sz="8" w:space="0"/>
            </w:tcBorders>
            <w:shd w:val="clear" w:color="auto" w:fill="FFFFFF"/>
            <w:tcMar>
              <w:top w:w="0" w:type="dxa"/>
              <w:left w:w="0" w:type="dxa"/>
              <w:bottom w:w="0" w:type="dxa"/>
              <w:right w:w="0" w:type="dxa"/>
            </w:tcMar>
            <w:vAlign w:val="top"/>
          </w:tcPr>
          <w:p w14:paraId="235AA392">
            <w:pPr>
              <w:spacing w:before="100" w:after="100" w:line="240" w:lineRule="auto"/>
              <w:ind w:left="100" w:right="100" w:firstLine="0"/>
              <w:jc w:val="center"/>
            </w:pPr>
            <w:r>
              <w:rPr>
                <w:rFonts w:hint="eastAsia" w:ascii="DejaVu Sans" w:hAnsi="DejaVu Sans" w:eastAsia="DejaVu Sans" w:cs="DejaVu Sans"/>
                <w:color w:val="000000"/>
                <w:sz w:val="18"/>
                <w:szCs w:val="18"/>
              </w:rPr>
              <w:t>Section 2.5 Data Synthesis and Statistical Analysis: Mean difference (MD) with 95% confidence intervals (CIs) as pooled effect size for continuous outcomes</w:t>
            </w:r>
          </w:p>
        </w:tc>
      </w:tr>
      <w:tr w14:paraId="6B9D63B9">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0BCF4ED9">
            <w:pPr>
              <w:spacing w:before="100" w:after="100" w:line="240" w:lineRule="auto"/>
              <w:ind w:left="100" w:right="100" w:firstLine="0"/>
              <w:jc w:val="left"/>
            </w:pPr>
            <w:r>
              <w:rPr>
                <w:rFonts w:ascii="DejaVu Sans" w:hAnsi="DejaVu Sans" w:eastAsia="DejaVu Sans" w:cs="DejaVu Sans"/>
                <w:b/>
                <w:color w:val="000000"/>
                <w:sz w:val="18"/>
                <w:szCs w:val="18"/>
              </w:rPr>
              <w:t>Synthesis methods</w:t>
            </w:r>
          </w:p>
        </w:tc>
        <w:tc>
          <w:tcPr>
            <w:shd w:val="clear" w:color="auto" w:fill="FFFFFF"/>
            <w:tcMar>
              <w:top w:w="0" w:type="dxa"/>
              <w:left w:w="0" w:type="dxa"/>
              <w:bottom w:w="0" w:type="dxa"/>
              <w:right w:w="0" w:type="dxa"/>
            </w:tcMar>
            <w:vAlign w:val="top"/>
          </w:tcPr>
          <w:p w14:paraId="58AD7A8A">
            <w:pPr>
              <w:spacing w:before="100" w:after="100" w:line="240" w:lineRule="auto"/>
              <w:ind w:left="100" w:right="100" w:firstLine="0"/>
              <w:jc w:val="center"/>
            </w:pPr>
            <w:r>
              <w:rPr>
                <w:rFonts w:ascii="DejaVu Sans" w:hAnsi="DejaVu Sans" w:eastAsia="DejaVu Sans" w:cs="DejaVu Sans"/>
                <w:color w:val="000000"/>
                <w:sz w:val="18"/>
                <w:szCs w:val="18"/>
              </w:rPr>
              <w:t>13a</w:t>
            </w:r>
          </w:p>
        </w:tc>
        <w:tc>
          <w:tcPr>
            <w:shd w:val="clear" w:color="auto" w:fill="FFFFFF"/>
            <w:tcMar>
              <w:top w:w="0" w:type="dxa"/>
              <w:left w:w="0" w:type="dxa"/>
              <w:bottom w:w="0" w:type="dxa"/>
              <w:right w:w="0" w:type="dxa"/>
            </w:tcMar>
            <w:vAlign w:val="top"/>
          </w:tcPr>
          <w:p w14:paraId="30DAA8A3">
            <w:pPr>
              <w:spacing w:before="100" w:after="100" w:line="240" w:lineRule="auto"/>
              <w:ind w:left="100" w:right="100" w:firstLine="0"/>
              <w:jc w:val="left"/>
            </w:pPr>
            <w:r>
              <w:rPr>
                <w:rFonts w:ascii="DejaVu Sans" w:hAnsi="DejaVu Sans" w:eastAsia="DejaVu Sans" w:cs="DejaVu Sans"/>
                <w:color w:val="000000"/>
                <w:sz w:val="18"/>
                <w:szCs w:val="18"/>
              </w:rPr>
              <w:t>Describe the processes used to decide which studies were eligible for each synthesis (e.g. tabulating the study intervention characteristics and comparing against the planned groups for each synthesis (item 5)).</w:t>
            </w:r>
          </w:p>
        </w:tc>
        <w:tc>
          <w:tcPr>
            <w:tcBorders>
              <w:right w:val="single" w:color="000000" w:sz="8" w:space="0"/>
            </w:tcBorders>
            <w:shd w:val="clear" w:color="auto" w:fill="FFFFFF"/>
            <w:tcMar>
              <w:top w:w="0" w:type="dxa"/>
              <w:left w:w="0" w:type="dxa"/>
              <w:bottom w:w="0" w:type="dxa"/>
              <w:right w:w="0" w:type="dxa"/>
            </w:tcMar>
            <w:vAlign w:val="top"/>
          </w:tcPr>
          <w:p w14:paraId="053992C6">
            <w:pPr>
              <w:spacing w:before="100" w:after="100" w:line="240" w:lineRule="auto"/>
              <w:ind w:left="100" w:right="100" w:firstLine="0"/>
              <w:jc w:val="center"/>
            </w:pPr>
            <w:r>
              <w:rPr>
                <w:rFonts w:hint="eastAsia" w:ascii="DejaVu Sans" w:hAnsi="DejaVu Sans" w:eastAsia="DejaVu Sans" w:cs="DejaVu Sans"/>
                <w:color w:val="000000"/>
                <w:sz w:val="18"/>
                <w:szCs w:val="18"/>
              </w:rPr>
              <w:t>Only RCTs fulfilling PICOS criteria were pooled; subgroup meta-analyses grouped by outcome indicator and follow-up time; characteristics of included trials summarized in Table 2 and Table 3</w:t>
            </w:r>
          </w:p>
        </w:tc>
      </w:tr>
      <w:tr w14:paraId="5A99C008">
        <w:tblPrEx>
          <w:tblCellMar>
            <w:top w:w="0" w:type="dxa"/>
            <w:left w:w="108" w:type="dxa"/>
            <w:bottom w:w="0" w:type="dxa"/>
            <w:right w:w="108" w:type="dxa"/>
          </w:tblCellMar>
        </w:tblPrEx>
        <w:trPr>
          <w:cantSplit/>
          <w:trHeight w:val="0" w:hRule="atLeast"/>
          <w:jc w:val="center"/>
        </w:trPr>
        <w:tc>
          <w:tcPr>
            <w:vMerge w:val="restart"/>
            <w:tcBorders>
              <w:left w:val="single" w:color="000000" w:sz="8" w:space="0"/>
            </w:tcBorders>
            <w:shd w:val="clear" w:color="auto" w:fill="FFFFFF"/>
            <w:tcMar>
              <w:top w:w="0" w:type="dxa"/>
              <w:left w:w="0" w:type="dxa"/>
              <w:bottom w:w="0" w:type="dxa"/>
              <w:right w:w="0" w:type="dxa"/>
            </w:tcMar>
            <w:vAlign w:val="top"/>
          </w:tcPr>
          <w:p w14:paraId="0F004FF7">
            <w:pPr>
              <w:spacing w:before="100" w:after="100" w:line="240" w:lineRule="auto"/>
              <w:ind w:left="100" w:right="100" w:firstLine="0"/>
              <w:jc w:val="left"/>
            </w:pPr>
          </w:p>
        </w:tc>
        <w:tc>
          <w:tcPr>
            <w:shd w:val="clear" w:color="auto" w:fill="FFFFFF"/>
            <w:tcMar>
              <w:top w:w="0" w:type="dxa"/>
              <w:left w:w="0" w:type="dxa"/>
              <w:bottom w:w="0" w:type="dxa"/>
              <w:right w:w="0" w:type="dxa"/>
            </w:tcMar>
            <w:vAlign w:val="top"/>
          </w:tcPr>
          <w:p w14:paraId="61AD9D92">
            <w:pPr>
              <w:spacing w:before="100" w:after="100" w:line="240" w:lineRule="auto"/>
              <w:ind w:left="100" w:right="100" w:firstLine="0"/>
              <w:jc w:val="center"/>
            </w:pPr>
            <w:r>
              <w:rPr>
                <w:rFonts w:ascii="DejaVu Sans" w:hAnsi="DejaVu Sans" w:eastAsia="DejaVu Sans" w:cs="DejaVu Sans"/>
                <w:color w:val="000000"/>
                <w:sz w:val="18"/>
                <w:szCs w:val="18"/>
              </w:rPr>
              <w:t>13b</w:t>
            </w:r>
          </w:p>
        </w:tc>
        <w:tc>
          <w:tcPr>
            <w:shd w:val="clear" w:color="auto" w:fill="FFFFFF"/>
            <w:tcMar>
              <w:top w:w="0" w:type="dxa"/>
              <w:left w:w="0" w:type="dxa"/>
              <w:bottom w:w="0" w:type="dxa"/>
              <w:right w:w="0" w:type="dxa"/>
            </w:tcMar>
            <w:vAlign w:val="top"/>
          </w:tcPr>
          <w:p w14:paraId="4592033D">
            <w:pPr>
              <w:spacing w:before="100" w:after="100" w:line="240" w:lineRule="auto"/>
              <w:ind w:left="100" w:right="100" w:firstLine="0"/>
              <w:jc w:val="left"/>
            </w:pPr>
            <w:r>
              <w:rPr>
                <w:rFonts w:ascii="DejaVu Sans" w:hAnsi="DejaVu Sans" w:eastAsia="DejaVu Sans" w:cs="DejaVu Sans"/>
                <w:color w:val="000000"/>
                <w:sz w:val="18"/>
                <w:szCs w:val="18"/>
              </w:rPr>
              <w:t>Describe any methods required to prepare the data for presentation or synthesis, such as handling of missing summary statistics, or data conversions.</w:t>
            </w:r>
          </w:p>
        </w:tc>
        <w:tc>
          <w:tcPr>
            <w:tcBorders>
              <w:right w:val="single" w:color="000000" w:sz="8" w:space="0"/>
            </w:tcBorders>
            <w:shd w:val="clear" w:color="auto" w:fill="FFFFFF"/>
            <w:tcMar>
              <w:top w:w="0" w:type="dxa"/>
              <w:left w:w="0" w:type="dxa"/>
              <w:bottom w:w="0" w:type="dxa"/>
              <w:right w:w="0" w:type="dxa"/>
            </w:tcMar>
            <w:vAlign w:val="top"/>
          </w:tcPr>
          <w:p w14:paraId="4D42FAAA">
            <w:pPr>
              <w:spacing w:before="100" w:after="100" w:line="240" w:lineRule="auto"/>
              <w:ind w:left="100" w:right="100" w:firstLine="0"/>
              <w:jc w:val="center"/>
            </w:pPr>
            <w:r>
              <w:rPr>
                <w:rFonts w:hint="eastAsia" w:ascii="DejaVu Sans" w:hAnsi="DejaVu Sans" w:eastAsia="DejaVu Sans" w:cs="DejaVu Sans"/>
                <w:color w:val="000000"/>
                <w:sz w:val="18"/>
                <w:szCs w:val="18"/>
              </w:rPr>
              <w:t>Missing SD of change computed via dedicated formula; median-to-mean transformation applied where necessary; sensitivity analyses with r=0.3/0.5/0.7 to test result robustness</w:t>
            </w:r>
          </w:p>
        </w:tc>
      </w:tr>
      <w:tr w14:paraId="78A61539">
        <w:tblPrEx>
          <w:tblCellMar>
            <w:top w:w="0" w:type="dxa"/>
            <w:left w:w="108" w:type="dxa"/>
            <w:bottom w:w="0" w:type="dxa"/>
            <w:right w:w="108" w:type="dxa"/>
          </w:tblCellMar>
        </w:tblPrEx>
        <w:trPr>
          <w:cantSplit/>
          <w:trHeight w:val="0" w:hRule="atLeast"/>
          <w:jc w:val="center"/>
        </w:trPr>
        <w:tc>
          <w:tcPr>
            <w:vMerge w:val="continue"/>
            <w:tcBorders>
              <w:left w:val="single" w:color="000000" w:sz="8" w:space="0"/>
            </w:tcBorders>
            <w:shd w:val="clear" w:color="auto" w:fill="FFFFFF"/>
            <w:tcMar>
              <w:top w:w="0" w:type="dxa"/>
              <w:left w:w="0" w:type="dxa"/>
              <w:bottom w:w="0" w:type="dxa"/>
              <w:right w:w="0" w:type="dxa"/>
            </w:tcMar>
            <w:vAlign w:val="top"/>
          </w:tcPr>
          <w:p w14:paraId="4BABF09C">
            <w:pPr>
              <w:spacing w:before="100" w:after="100" w:line="240" w:lineRule="auto"/>
              <w:ind w:left="100" w:right="100" w:firstLine="0"/>
              <w:jc w:val="left"/>
            </w:pPr>
          </w:p>
        </w:tc>
        <w:tc>
          <w:tcPr>
            <w:shd w:val="clear" w:color="auto" w:fill="FFFFFF"/>
            <w:tcMar>
              <w:top w:w="0" w:type="dxa"/>
              <w:left w:w="0" w:type="dxa"/>
              <w:bottom w:w="0" w:type="dxa"/>
              <w:right w:w="0" w:type="dxa"/>
            </w:tcMar>
            <w:vAlign w:val="top"/>
          </w:tcPr>
          <w:p w14:paraId="0CE82F86">
            <w:pPr>
              <w:spacing w:before="100" w:after="100" w:line="240" w:lineRule="auto"/>
              <w:ind w:left="100" w:right="100" w:firstLine="0"/>
              <w:jc w:val="center"/>
            </w:pPr>
            <w:r>
              <w:rPr>
                <w:rFonts w:ascii="DejaVu Sans" w:hAnsi="DejaVu Sans" w:eastAsia="DejaVu Sans" w:cs="DejaVu Sans"/>
                <w:color w:val="000000"/>
                <w:sz w:val="18"/>
                <w:szCs w:val="18"/>
              </w:rPr>
              <w:t>13c</w:t>
            </w:r>
          </w:p>
        </w:tc>
        <w:tc>
          <w:tcPr>
            <w:shd w:val="clear" w:color="auto" w:fill="FFFFFF"/>
            <w:tcMar>
              <w:top w:w="0" w:type="dxa"/>
              <w:left w:w="0" w:type="dxa"/>
              <w:bottom w:w="0" w:type="dxa"/>
              <w:right w:w="0" w:type="dxa"/>
            </w:tcMar>
            <w:vAlign w:val="top"/>
          </w:tcPr>
          <w:p w14:paraId="388F6B26">
            <w:pPr>
              <w:spacing w:before="100" w:after="100" w:line="240" w:lineRule="auto"/>
              <w:ind w:left="100" w:right="100" w:firstLine="0"/>
              <w:jc w:val="left"/>
            </w:pPr>
            <w:r>
              <w:rPr>
                <w:rFonts w:ascii="DejaVu Sans" w:hAnsi="DejaVu Sans" w:eastAsia="DejaVu Sans" w:cs="DejaVu Sans"/>
                <w:color w:val="000000"/>
                <w:sz w:val="18"/>
                <w:szCs w:val="18"/>
              </w:rPr>
              <w:t>Describe any methods used to tabulate or visually display results of individual studies and syntheses.</w:t>
            </w:r>
          </w:p>
        </w:tc>
        <w:tc>
          <w:tcPr>
            <w:tcBorders>
              <w:right w:val="single" w:color="000000" w:sz="8" w:space="0"/>
            </w:tcBorders>
            <w:shd w:val="clear" w:color="auto" w:fill="FFFFFF"/>
            <w:tcMar>
              <w:top w:w="0" w:type="dxa"/>
              <w:left w:w="0" w:type="dxa"/>
              <w:bottom w:w="0" w:type="dxa"/>
              <w:right w:w="0" w:type="dxa"/>
            </w:tcMar>
            <w:vAlign w:val="top"/>
          </w:tcPr>
          <w:p w14:paraId="04A82562">
            <w:pPr>
              <w:spacing w:before="100" w:after="100" w:line="240" w:lineRule="auto"/>
              <w:ind w:left="100" w:right="100" w:firstLine="0"/>
              <w:jc w:val="center"/>
            </w:pPr>
            <w:r>
              <w:rPr>
                <w:rFonts w:hint="eastAsia" w:ascii="DejaVu Sans" w:hAnsi="DejaVu Sans" w:eastAsia="DejaVu Sans" w:cs="DejaVu Sans"/>
                <w:color w:val="000000"/>
                <w:sz w:val="18"/>
                <w:szCs w:val="18"/>
              </w:rPr>
              <w:t>Baseline participant characteristics (Table 2), FMT intervention profiles (Table 3), GRADE evidence certainty summary (Table 1); pooled effects presented via forest plots (Figure 4–Figure 12); risk of bias summary plot (Figure 2) and traffic light plot (Figure 3)</w:t>
            </w:r>
          </w:p>
        </w:tc>
      </w:tr>
      <w:tr w14:paraId="0E454E45">
        <w:tblPrEx>
          <w:tblCellMar>
            <w:top w:w="0" w:type="dxa"/>
            <w:left w:w="108" w:type="dxa"/>
            <w:bottom w:w="0" w:type="dxa"/>
            <w:right w:w="108" w:type="dxa"/>
          </w:tblCellMar>
        </w:tblPrEx>
        <w:trPr>
          <w:cantSplit/>
          <w:trHeight w:val="0" w:hRule="atLeast"/>
          <w:jc w:val="center"/>
        </w:trPr>
        <w:tc>
          <w:tcPr>
            <w:vMerge w:val="continue"/>
            <w:tcBorders>
              <w:left w:val="single" w:color="000000" w:sz="8" w:space="0"/>
            </w:tcBorders>
            <w:shd w:val="clear" w:color="auto" w:fill="FFFFFF"/>
            <w:tcMar>
              <w:top w:w="0" w:type="dxa"/>
              <w:left w:w="0" w:type="dxa"/>
              <w:bottom w:w="0" w:type="dxa"/>
              <w:right w:w="0" w:type="dxa"/>
            </w:tcMar>
            <w:vAlign w:val="top"/>
          </w:tcPr>
          <w:p w14:paraId="58D7C42F">
            <w:pPr>
              <w:spacing w:before="100" w:after="100" w:line="240" w:lineRule="auto"/>
              <w:ind w:left="100" w:right="100" w:firstLine="0"/>
              <w:jc w:val="left"/>
            </w:pPr>
          </w:p>
        </w:tc>
        <w:tc>
          <w:tcPr>
            <w:shd w:val="clear" w:color="auto" w:fill="FFFFFF"/>
            <w:tcMar>
              <w:top w:w="0" w:type="dxa"/>
              <w:left w:w="0" w:type="dxa"/>
              <w:bottom w:w="0" w:type="dxa"/>
              <w:right w:w="0" w:type="dxa"/>
            </w:tcMar>
            <w:vAlign w:val="top"/>
          </w:tcPr>
          <w:p w14:paraId="2080249D">
            <w:pPr>
              <w:spacing w:before="100" w:after="100" w:line="240" w:lineRule="auto"/>
              <w:ind w:left="100" w:right="100" w:firstLine="0"/>
              <w:jc w:val="center"/>
            </w:pPr>
            <w:r>
              <w:rPr>
                <w:rFonts w:ascii="DejaVu Sans" w:hAnsi="DejaVu Sans" w:eastAsia="DejaVu Sans" w:cs="DejaVu Sans"/>
                <w:color w:val="000000"/>
                <w:sz w:val="18"/>
                <w:szCs w:val="18"/>
              </w:rPr>
              <w:t>13d</w:t>
            </w:r>
          </w:p>
        </w:tc>
        <w:tc>
          <w:tcPr>
            <w:shd w:val="clear" w:color="auto" w:fill="FFFFFF"/>
            <w:tcMar>
              <w:top w:w="0" w:type="dxa"/>
              <w:left w:w="0" w:type="dxa"/>
              <w:bottom w:w="0" w:type="dxa"/>
              <w:right w:w="0" w:type="dxa"/>
            </w:tcMar>
            <w:vAlign w:val="top"/>
          </w:tcPr>
          <w:p w14:paraId="0B011774">
            <w:pPr>
              <w:spacing w:before="100" w:after="100" w:line="240" w:lineRule="auto"/>
              <w:ind w:left="100" w:right="100" w:firstLine="0"/>
              <w:jc w:val="left"/>
            </w:pPr>
            <w:r>
              <w:rPr>
                <w:rFonts w:ascii="DejaVu Sans" w:hAnsi="DejaVu Sans" w:eastAsia="DejaVu Sans" w:cs="DejaVu Sans"/>
                <w:color w:val="000000"/>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Borders>
              <w:right w:val="single" w:color="000000" w:sz="8" w:space="0"/>
            </w:tcBorders>
            <w:shd w:val="clear" w:color="auto" w:fill="FFFFFF"/>
            <w:tcMar>
              <w:top w:w="0" w:type="dxa"/>
              <w:left w:w="0" w:type="dxa"/>
              <w:bottom w:w="0" w:type="dxa"/>
              <w:right w:w="0" w:type="dxa"/>
            </w:tcMar>
            <w:vAlign w:val="top"/>
          </w:tcPr>
          <w:p w14:paraId="4EBFCAFB">
            <w:pPr>
              <w:spacing w:before="100" w:after="100" w:line="240" w:lineRule="auto"/>
              <w:ind w:left="100" w:right="100" w:firstLine="0"/>
              <w:jc w:val="center"/>
            </w:pPr>
            <w:r>
              <w:rPr>
                <w:rFonts w:hint="eastAsia" w:ascii="DejaVu Sans" w:hAnsi="DejaVu Sans" w:eastAsia="DejaVu Sans" w:cs="DejaVu Sans"/>
                <w:color w:val="000000"/>
                <w:sz w:val="18"/>
                <w:szCs w:val="18"/>
              </w:rPr>
              <w:t>RevMan 5.4.1 applied; I² statistic to quantify heterogeneity; fixed-effect model for I² ≤ 50%, random-effects model for I² &gt; 50%; leave-one-out sensitivity analysis to explore sources of heterogeneity</w:t>
            </w:r>
          </w:p>
        </w:tc>
      </w:tr>
      <w:tr w14:paraId="234E8DC0">
        <w:tblPrEx>
          <w:tblCellMar>
            <w:top w:w="0" w:type="dxa"/>
            <w:left w:w="108" w:type="dxa"/>
            <w:bottom w:w="0" w:type="dxa"/>
            <w:right w:w="108" w:type="dxa"/>
          </w:tblCellMar>
        </w:tblPrEx>
        <w:trPr>
          <w:cantSplit/>
          <w:trHeight w:val="0" w:hRule="atLeast"/>
          <w:jc w:val="center"/>
        </w:trPr>
        <w:tc>
          <w:tcPr>
            <w:vMerge w:val="continue"/>
            <w:tcBorders>
              <w:left w:val="single" w:color="000000" w:sz="8" w:space="0"/>
            </w:tcBorders>
            <w:shd w:val="clear" w:color="auto" w:fill="FFFFFF"/>
            <w:tcMar>
              <w:top w:w="0" w:type="dxa"/>
              <w:left w:w="0" w:type="dxa"/>
              <w:bottom w:w="0" w:type="dxa"/>
              <w:right w:w="0" w:type="dxa"/>
            </w:tcMar>
            <w:vAlign w:val="top"/>
          </w:tcPr>
          <w:p w14:paraId="3590B7CF">
            <w:pPr>
              <w:spacing w:before="100" w:after="100" w:line="240" w:lineRule="auto"/>
              <w:ind w:left="100" w:right="100" w:firstLine="0"/>
              <w:jc w:val="left"/>
            </w:pPr>
          </w:p>
        </w:tc>
        <w:tc>
          <w:tcPr>
            <w:shd w:val="clear" w:color="auto" w:fill="FFFFFF"/>
            <w:tcMar>
              <w:top w:w="0" w:type="dxa"/>
              <w:left w:w="0" w:type="dxa"/>
              <w:bottom w:w="0" w:type="dxa"/>
              <w:right w:w="0" w:type="dxa"/>
            </w:tcMar>
            <w:vAlign w:val="top"/>
          </w:tcPr>
          <w:p w14:paraId="44378C0E">
            <w:pPr>
              <w:spacing w:before="100" w:after="100" w:line="240" w:lineRule="auto"/>
              <w:ind w:left="100" w:right="100" w:firstLine="0"/>
              <w:jc w:val="center"/>
            </w:pPr>
            <w:r>
              <w:rPr>
                <w:rFonts w:ascii="DejaVu Sans" w:hAnsi="DejaVu Sans" w:eastAsia="DejaVu Sans" w:cs="DejaVu Sans"/>
                <w:color w:val="000000"/>
                <w:sz w:val="18"/>
                <w:szCs w:val="18"/>
              </w:rPr>
              <w:t>13e</w:t>
            </w:r>
          </w:p>
        </w:tc>
        <w:tc>
          <w:tcPr>
            <w:shd w:val="clear" w:color="auto" w:fill="FFFFFF"/>
            <w:tcMar>
              <w:top w:w="0" w:type="dxa"/>
              <w:left w:w="0" w:type="dxa"/>
              <w:bottom w:w="0" w:type="dxa"/>
              <w:right w:w="0" w:type="dxa"/>
            </w:tcMar>
            <w:vAlign w:val="top"/>
          </w:tcPr>
          <w:p w14:paraId="4462B2EB">
            <w:pPr>
              <w:spacing w:before="100" w:after="100" w:line="240" w:lineRule="auto"/>
              <w:ind w:left="100" w:right="100" w:firstLine="0"/>
              <w:jc w:val="left"/>
            </w:pPr>
            <w:r>
              <w:rPr>
                <w:rFonts w:ascii="DejaVu Sans" w:hAnsi="DejaVu Sans" w:eastAsia="DejaVu Sans" w:cs="DejaVu Sans"/>
                <w:color w:val="000000"/>
                <w:sz w:val="18"/>
                <w:szCs w:val="18"/>
              </w:rPr>
              <w:t>Describe any methods used to explore possible causes of heterogeneity among study results (e.g. subgroup analysis, meta-regression).</w:t>
            </w:r>
          </w:p>
        </w:tc>
        <w:tc>
          <w:tcPr>
            <w:tcBorders>
              <w:right w:val="single" w:color="000000" w:sz="8" w:space="0"/>
            </w:tcBorders>
            <w:shd w:val="clear" w:color="auto" w:fill="FFFFFF"/>
            <w:tcMar>
              <w:top w:w="0" w:type="dxa"/>
              <w:left w:w="0" w:type="dxa"/>
              <w:bottom w:w="0" w:type="dxa"/>
              <w:right w:w="0" w:type="dxa"/>
            </w:tcMar>
            <w:vAlign w:val="top"/>
          </w:tcPr>
          <w:p w14:paraId="59DC6B1B">
            <w:pPr>
              <w:spacing w:before="100" w:after="100" w:line="240" w:lineRule="auto"/>
              <w:ind w:left="100" w:right="100" w:firstLine="0"/>
              <w:jc w:val="center"/>
            </w:pPr>
            <w:r>
              <w:rPr>
                <w:rFonts w:hint="eastAsia" w:ascii="DejaVu Sans" w:hAnsi="DejaVu Sans" w:eastAsia="DejaVu Sans" w:cs="DejaVu Sans"/>
                <w:color w:val="000000"/>
                <w:sz w:val="18"/>
                <w:szCs w:val="18"/>
              </w:rPr>
              <w:t>Sensitivity analysis identified heterogeneity drivers; inconsistency attributed to divergent FMT protocols (fresh vs frozen stool, delivery routes); subgroup analyses recommended for future large-scale trials</w:t>
            </w:r>
          </w:p>
        </w:tc>
      </w:tr>
      <w:tr w14:paraId="10A2A4A5">
        <w:tblPrEx>
          <w:tblCellMar>
            <w:top w:w="0" w:type="dxa"/>
            <w:left w:w="108" w:type="dxa"/>
            <w:bottom w:w="0" w:type="dxa"/>
            <w:right w:w="108" w:type="dxa"/>
          </w:tblCellMar>
        </w:tblPrEx>
        <w:trPr>
          <w:cantSplit/>
          <w:trHeight w:val="0" w:hRule="atLeast"/>
          <w:jc w:val="center"/>
        </w:trPr>
        <w:tc>
          <w:tcPr>
            <w:vMerge w:val="continue"/>
            <w:tcBorders>
              <w:left w:val="single" w:color="000000" w:sz="8" w:space="0"/>
            </w:tcBorders>
            <w:shd w:val="clear" w:color="auto" w:fill="FFFFFF"/>
            <w:tcMar>
              <w:top w:w="0" w:type="dxa"/>
              <w:left w:w="0" w:type="dxa"/>
              <w:bottom w:w="0" w:type="dxa"/>
              <w:right w:w="0" w:type="dxa"/>
            </w:tcMar>
            <w:vAlign w:val="top"/>
          </w:tcPr>
          <w:p w14:paraId="429335FE">
            <w:pPr>
              <w:spacing w:before="100" w:after="100" w:line="240" w:lineRule="auto"/>
              <w:ind w:left="100" w:right="100" w:firstLine="0"/>
              <w:jc w:val="left"/>
            </w:pPr>
          </w:p>
        </w:tc>
        <w:tc>
          <w:tcPr>
            <w:shd w:val="clear" w:color="auto" w:fill="FFFFFF"/>
            <w:tcMar>
              <w:top w:w="0" w:type="dxa"/>
              <w:left w:w="0" w:type="dxa"/>
              <w:bottom w:w="0" w:type="dxa"/>
              <w:right w:w="0" w:type="dxa"/>
            </w:tcMar>
            <w:vAlign w:val="top"/>
          </w:tcPr>
          <w:p w14:paraId="25FE540D">
            <w:pPr>
              <w:spacing w:before="100" w:after="100" w:line="240" w:lineRule="auto"/>
              <w:ind w:left="100" w:right="100" w:firstLine="0"/>
              <w:jc w:val="center"/>
            </w:pPr>
            <w:r>
              <w:rPr>
                <w:rFonts w:ascii="DejaVu Sans" w:hAnsi="DejaVu Sans" w:eastAsia="DejaVu Sans" w:cs="DejaVu Sans"/>
                <w:color w:val="000000"/>
                <w:sz w:val="18"/>
                <w:szCs w:val="18"/>
              </w:rPr>
              <w:t>13f</w:t>
            </w:r>
          </w:p>
        </w:tc>
        <w:tc>
          <w:tcPr>
            <w:shd w:val="clear" w:color="auto" w:fill="FFFFFF"/>
            <w:tcMar>
              <w:top w:w="0" w:type="dxa"/>
              <w:left w:w="0" w:type="dxa"/>
              <w:bottom w:w="0" w:type="dxa"/>
              <w:right w:w="0" w:type="dxa"/>
            </w:tcMar>
            <w:vAlign w:val="top"/>
          </w:tcPr>
          <w:p w14:paraId="2450EA7F">
            <w:pPr>
              <w:spacing w:before="100" w:after="100" w:line="240" w:lineRule="auto"/>
              <w:ind w:left="100" w:right="100" w:firstLine="0"/>
              <w:jc w:val="left"/>
            </w:pPr>
            <w:r>
              <w:rPr>
                <w:rFonts w:ascii="DejaVu Sans" w:hAnsi="DejaVu Sans" w:eastAsia="DejaVu Sans" w:cs="DejaVu Sans"/>
                <w:color w:val="000000"/>
                <w:sz w:val="18"/>
                <w:szCs w:val="18"/>
              </w:rPr>
              <w:t>Describe any sensitivity analyses conducted to assess robustness of the synthesized results.</w:t>
            </w:r>
          </w:p>
        </w:tc>
        <w:tc>
          <w:tcPr>
            <w:tcBorders>
              <w:right w:val="single" w:color="000000" w:sz="8" w:space="0"/>
            </w:tcBorders>
            <w:shd w:val="clear" w:color="auto" w:fill="FFFFFF"/>
            <w:tcMar>
              <w:top w:w="0" w:type="dxa"/>
              <w:left w:w="0" w:type="dxa"/>
              <w:bottom w:w="0" w:type="dxa"/>
              <w:right w:w="0" w:type="dxa"/>
            </w:tcMar>
            <w:vAlign w:val="top"/>
          </w:tcPr>
          <w:p w14:paraId="6FD96DBC">
            <w:pPr>
              <w:spacing w:before="100" w:after="100" w:line="240" w:lineRule="auto"/>
              <w:ind w:left="100" w:right="100" w:firstLine="0"/>
              <w:jc w:val="center"/>
            </w:pPr>
            <w:r>
              <w:rPr>
                <w:rFonts w:hint="eastAsia" w:ascii="DejaVu Sans" w:hAnsi="DejaVu Sans" w:eastAsia="DejaVu Sans" w:cs="DejaVu Sans"/>
                <w:color w:val="000000"/>
                <w:sz w:val="18"/>
                <w:szCs w:val="18"/>
              </w:rPr>
              <w:t>Two types of sensitivity analyses: 1) varying correlation coefficient r (0.3 / 0.5 / 0.7); 2) leave-one-out analysis confirming Wang et al. (2025) as the primary source of heterogeneity for MDS-UPDRS Part III at week 12</w:t>
            </w:r>
          </w:p>
        </w:tc>
      </w:tr>
      <w:tr w14:paraId="598E42DE">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598E590B">
            <w:pPr>
              <w:spacing w:before="100" w:after="100" w:line="240" w:lineRule="auto"/>
              <w:ind w:left="100" w:right="100" w:firstLine="0"/>
              <w:jc w:val="left"/>
            </w:pPr>
            <w:r>
              <w:rPr>
                <w:rFonts w:ascii="DejaVu Sans" w:hAnsi="DejaVu Sans" w:eastAsia="DejaVu Sans" w:cs="DejaVu Sans"/>
                <w:b/>
                <w:color w:val="000000"/>
                <w:sz w:val="18"/>
                <w:szCs w:val="18"/>
              </w:rPr>
              <w:t>Reporting bias assessment</w:t>
            </w:r>
          </w:p>
        </w:tc>
        <w:tc>
          <w:tcPr>
            <w:shd w:val="clear" w:color="auto" w:fill="FFFFFF"/>
            <w:tcMar>
              <w:top w:w="0" w:type="dxa"/>
              <w:left w:w="0" w:type="dxa"/>
              <w:bottom w:w="0" w:type="dxa"/>
              <w:right w:w="0" w:type="dxa"/>
            </w:tcMar>
            <w:vAlign w:val="top"/>
          </w:tcPr>
          <w:p w14:paraId="7EF35121">
            <w:pPr>
              <w:spacing w:before="100" w:after="100" w:line="240" w:lineRule="auto"/>
              <w:ind w:left="100" w:right="100" w:firstLine="0"/>
              <w:jc w:val="center"/>
            </w:pPr>
            <w:r>
              <w:rPr>
                <w:rFonts w:ascii="DejaVu Sans" w:hAnsi="DejaVu Sans" w:eastAsia="DejaVu Sans" w:cs="DejaVu Sans"/>
                <w:color w:val="000000"/>
                <w:sz w:val="18"/>
                <w:szCs w:val="18"/>
              </w:rPr>
              <w:t>14</w:t>
            </w:r>
          </w:p>
        </w:tc>
        <w:tc>
          <w:tcPr>
            <w:shd w:val="clear" w:color="auto" w:fill="FFFFFF"/>
            <w:tcMar>
              <w:top w:w="0" w:type="dxa"/>
              <w:left w:w="0" w:type="dxa"/>
              <w:bottom w:w="0" w:type="dxa"/>
              <w:right w:w="0" w:type="dxa"/>
            </w:tcMar>
            <w:vAlign w:val="top"/>
          </w:tcPr>
          <w:p w14:paraId="573E2089">
            <w:pPr>
              <w:spacing w:before="100" w:after="100" w:line="240" w:lineRule="auto"/>
              <w:ind w:left="100" w:right="100" w:firstLine="0"/>
              <w:jc w:val="left"/>
            </w:pPr>
            <w:r>
              <w:rPr>
                <w:rFonts w:ascii="DejaVu Sans" w:hAnsi="DejaVu Sans" w:eastAsia="DejaVu Sans" w:cs="DejaVu Sans"/>
                <w:color w:val="000000"/>
                <w:sz w:val="18"/>
                <w:szCs w:val="18"/>
              </w:rPr>
              <w:t>Describe any methods used to assess risk of bias due to missing results in a synthesis (arising from reporting biases).</w:t>
            </w:r>
          </w:p>
        </w:tc>
        <w:tc>
          <w:tcPr>
            <w:tcBorders>
              <w:right w:val="single" w:color="000000" w:sz="8" w:space="0"/>
            </w:tcBorders>
            <w:shd w:val="clear" w:color="auto" w:fill="FFFFFF"/>
            <w:tcMar>
              <w:top w:w="0" w:type="dxa"/>
              <w:left w:w="0" w:type="dxa"/>
              <w:bottom w:w="0" w:type="dxa"/>
              <w:right w:w="0" w:type="dxa"/>
            </w:tcMar>
            <w:vAlign w:val="top"/>
          </w:tcPr>
          <w:p w14:paraId="150DCE98">
            <w:pPr>
              <w:spacing w:before="100" w:after="100" w:line="240" w:lineRule="auto"/>
              <w:ind w:left="100" w:right="100" w:firstLine="0"/>
              <w:jc w:val="center"/>
            </w:pPr>
            <w:r>
              <w:rPr>
                <w:rFonts w:hint="eastAsia" w:ascii="DejaVu Sans" w:hAnsi="DejaVu Sans" w:eastAsia="DejaVu Sans" w:cs="DejaVu Sans"/>
                <w:color w:val="000000"/>
                <w:sz w:val="18"/>
                <w:szCs w:val="18"/>
              </w:rPr>
              <w:t>Section 3.5 Publication Bias and Sensitivity Analysis: Funnel plots generated to assess publication bias; however, each meta-analysis contained fewer than 10 studies, limiting interpretability and preventing reliable evaluation of publication bias</w:t>
            </w:r>
          </w:p>
        </w:tc>
      </w:tr>
      <w:tr w14:paraId="69B383E0">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5F47825D">
            <w:pPr>
              <w:spacing w:before="100" w:after="100" w:line="240" w:lineRule="auto"/>
              <w:ind w:left="100" w:right="100" w:firstLine="0"/>
              <w:jc w:val="left"/>
            </w:pPr>
            <w:r>
              <w:rPr>
                <w:rFonts w:ascii="DejaVu Sans" w:hAnsi="DejaVu Sans" w:eastAsia="DejaVu Sans" w:cs="DejaVu Sans"/>
                <w:b/>
                <w:color w:val="000000"/>
                <w:sz w:val="18"/>
                <w:szCs w:val="18"/>
              </w:rPr>
              <w:t>Certainty assessment</w:t>
            </w:r>
          </w:p>
        </w:tc>
        <w:tc>
          <w:tcPr>
            <w:shd w:val="clear" w:color="auto" w:fill="FFFFFF"/>
            <w:tcMar>
              <w:top w:w="0" w:type="dxa"/>
              <w:left w:w="0" w:type="dxa"/>
              <w:bottom w:w="0" w:type="dxa"/>
              <w:right w:w="0" w:type="dxa"/>
            </w:tcMar>
            <w:vAlign w:val="top"/>
          </w:tcPr>
          <w:p w14:paraId="0D7CE54F">
            <w:pPr>
              <w:spacing w:before="100" w:after="100" w:line="240" w:lineRule="auto"/>
              <w:ind w:left="100" w:right="100" w:firstLine="0"/>
              <w:jc w:val="center"/>
            </w:pPr>
            <w:r>
              <w:rPr>
                <w:rFonts w:ascii="DejaVu Sans" w:hAnsi="DejaVu Sans" w:eastAsia="DejaVu Sans" w:cs="DejaVu Sans"/>
                <w:color w:val="000000"/>
                <w:sz w:val="18"/>
                <w:szCs w:val="18"/>
              </w:rPr>
              <w:t>15</w:t>
            </w:r>
          </w:p>
        </w:tc>
        <w:tc>
          <w:tcPr>
            <w:shd w:val="clear" w:color="auto" w:fill="FFFFFF"/>
            <w:tcMar>
              <w:top w:w="0" w:type="dxa"/>
              <w:left w:w="0" w:type="dxa"/>
              <w:bottom w:w="0" w:type="dxa"/>
              <w:right w:w="0" w:type="dxa"/>
            </w:tcMar>
            <w:vAlign w:val="top"/>
          </w:tcPr>
          <w:p w14:paraId="4FC28BFB">
            <w:pPr>
              <w:spacing w:before="100" w:after="100" w:line="240" w:lineRule="auto"/>
              <w:ind w:left="100" w:right="100" w:firstLine="0"/>
              <w:jc w:val="left"/>
            </w:pPr>
            <w:r>
              <w:rPr>
                <w:rFonts w:ascii="DejaVu Sans" w:hAnsi="DejaVu Sans" w:eastAsia="DejaVu Sans" w:cs="DejaVu Sans"/>
                <w:color w:val="000000"/>
                <w:sz w:val="18"/>
                <w:szCs w:val="18"/>
              </w:rPr>
              <w:t>Describe any methods used to assess certainty (or confidence) in the body of evidence for an outcome.</w:t>
            </w:r>
          </w:p>
        </w:tc>
        <w:tc>
          <w:tcPr>
            <w:tcBorders>
              <w:right w:val="single" w:color="000000" w:sz="8" w:space="0"/>
            </w:tcBorders>
            <w:shd w:val="clear" w:color="auto" w:fill="FFFFFF"/>
            <w:tcMar>
              <w:top w:w="0" w:type="dxa"/>
              <w:left w:w="0" w:type="dxa"/>
              <w:bottom w:w="0" w:type="dxa"/>
              <w:right w:w="0" w:type="dxa"/>
            </w:tcMar>
            <w:vAlign w:val="top"/>
          </w:tcPr>
          <w:p w14:paraId="1873ED1E">
            <w:pPr>
              <w:spacing w:before="100" w:after="100" w:line="240" w:lineRule="auto"/>
              <w:ind w:left="100" w:right="100" w:firstLine="0"/>
              <w:jc w:val="center"/>
            </w:pPr>
            <w:r>
              <w:rPr>
                <w:rFonts w:hint="eastAsia" w:ascii="DejaVu Sans" w:hAnsi="DejaVu Sans" w:eastAsia="DejaVu Sans" w:cs="DejaVu Sans"/>
                <w:color w:val="000000"/>
                <w:sz w:val="18"/>
                <w:szCs w:val="18"/>
              </w:rPr>
              <w:t>Section 2.4: Two independent reviewers rated evidence certainty via GRADE framework; downgrade factors included high risk of bias, inconsistency, wide CIs and imprecision; GRADE ratings for all outcomes listed in Table 1</w:t>
            </w:r>
          </w:p>
        </w:tc>
      </w:tr>
      <w:tr w14:paraId="50D45CBD">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CC"/>
            <w:tcMar>
              <w:top w:w="0" w:type="dxa"/>
              <w:left w:w="0" w:type="dxa"/>
              <w:bottom w:w="0" w:type="dxa"/>
              <w:right w:w="0" w:type="dxa"/>
            </w:tcMar>
            <w:vAlign w:val="top"/>
          </w:tcPr>
          <w:p w14:paraId="0CB82FB7">
            <w:pPr>
              <w:spacing w:before="100" w:after="100" w:line="240" w:lineRule="auto"/>
              <w:ind w:left="100" w:right="100" w:firstLine="0"/>
              <w:jc w:val="left"/>
            </w:pPr>
            <w:r>
              <w:rPr>
                <w:rFonts w:ascii="DejaVu Sans" w:hAnsi="DejaVu Sans" w:eastAsia="DejaVu Sans" w:cs="DejaVu Sans"/>
                <w:b/>
                <w:color w:val="000000"/>
                <w:sz w:val="18"/>
                <w:szCs w:val="18"/>
              </w:rPr>
              <w:t>RESULTS</w:t>
            </w:r>
          </w:p>
        </w:tc>
        <w:tc>
          <w:tcPr>
            <w:shd w:val="clear" w:color="auto" w:fill="FFFFCC"/>
            <w:tcMar>
              <w:top w:w="0" w:type="dxa"/>
              <w:left w:w="0" w:type="dxa"/>
              <w:bottom w:w="0" w:type="dxa"/>
              <w:right w:w="0" w:type="dxa"/>
            </w:tcMar>
            <w:vAlign w:val="top"/>
          </w:tcPr>
          <w:p w14:paraId="13BB1271">
            <w:pPr>
              <w:spacing w:before="100" w:after="100" w:line="240" w:lineRule="auto"/>
              <w:ind w:left="100" w:right="100" w:firstLine="0"/>
              <w:jc w:val="center"/>
            </w:pPr>
          </w:p>
        </w:tc>
        <w:tc>
          <w:tcPr>
            <w:shd w:val="clear" w:color="auto" w:fill="FFFFCC"/>
            <w:tcMar>
              <w:top w:w="0" w:type="dxa"/>
              <w:left w:w="0" w:type="dxa"/>
              <w:bottom w:w="0" w:type="dxa"/>
              <w:right w:w="0" w:type="dxa"/>
            </w:tcMar>
            <w:vAlign w:val="top"/>
          </w:tcPr>
          <w:p w14:paraId="6A280B28">
            <w:pPr>
              <w:spacing w:before="100" w:after="100" w:line="240" w:lineRule="auto"/>
              <w:ind w:left="100" w:right="100" w:firstLine="0"/>
              <w:jc w:val="left"/>
            </w:pPr>
          </w:p>
        </w:tc>
        <w:tc>
          <w:tcPr>
            <w:tcBorders>
              <w:right w:val="single" w:color="000000" w:sz="8" w:space="0"/>
            </w:tcBorders>
            <w:shd w:val="clear" w:color="auto" w:fill="FFFFCC"/>
            <w:tcMar>
              <w:top w:w="0" w:type="dxa"/>
              <w:left w:w="0" w:type="dxa"/>
              <w:bottom w:w="0" w:type="dxa"/>
              <w:right w:w="0" w:type="dxa"/>
            </w:tcMar>
            <w:vAlign w:val="top"/>
          </w:tcPr>
          <w:p w14:paraId="2F0AF5BF">
            <w:pPr>
              <w:spacing w:before="100" w:after="100" w:line="240" w:lineRule="auto"/>
              <w:ind w:left="100" w:right="100" w:firstLine="0"/>
              <w:jc w:val="center"/>
            </w:pPr>
          </w:p>
        </w:tc>
      </w:tr>
      <w:tr w14:paraId="473EF221">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0B0295F0">
            <w:pPr>
              <w:spacing w:before="100" w:after="100" w:line="240" w:lineRule="auto"/>
              <w:ind w:left="100" w:right="100" w:firstLine="0"/>
              <w:jc w:val="left"/>
            </w:pPr>
            <w:r>
              <w:rPr>
                <w:rFonts w:ascii="DejaVu Sans" w:hAnsi="DejaVu Sans" w:eastAsia="DejaVu Sans" w:cs="DejaVu Sans"/>
                <w:b/>
                <w:color w:val="000000"/>
                <w:sz w:val="18"/>
                <w:szCs w:val="18"/>
              </w:rPr>
              <w:t>Study selection</w:t>
            </w:r>
          </w:p>
        </w:tc>
        <w:tc>
          <w:tcPr>
            <w:shd w:val="clear" w:color="auto" w:fill="FFFFFF"/>
            <w:tcMar>
              <w:top w:w="0" w:type="dxa"/>
              <w:left w:w="0" w:type="dxa"/>
              <w:bottom w:w="0" w:type="dxa"/>
              <w:right w:w="0" w:type="dxa"/>
            </w:tcMar>
            <w:vAlign w:val="top"/>
          </w:tcPr>
          <w:p w14:paraId="18D70234">
            <w:pPr>
              <w:spacing w:before="100" w:after="100" w:line="240" w:lineRule="auto"/>
              <w:ind w:left="100" w:right="100" w:firstLine="0"/>
              <w:jc w:val="center"/>
            </w:pPr>
            <w:r>
              <w:rPr>
                <w:rFonts w:ascii="DejaVu Sans" w:hAnsi="DejaVu Sans" w:eastAsia="DejaVu Sans" w:cs="DejaVu Sans"/>
                <w:color w:val="000000"/>
                <w:sz w:val="18"/>
                <w:szCs w:val="18"/>
              </w:rPr>
              <w:t>16a</w:t>
            </w:r>
          </w:p>
        </w:tc>
        <w:tc>
          <w:tcPr>
            <w:shd w:val="clear" w:color="auto" w:fill="FFFFFF"/>
            <w:tcMar>
              <w:top w:w="0" w:type="dxa"/>
              <w:left w:w="0" w:type="dxa"/>
              <w:bottom w:w="0" w:type="dxa"/>
              <w:right w:w="0" w:type="dxa"/>
            </w:tcMar>
            <w:vAlign w:val="top"/>
          </w:tcPr>
          <w:p w14:paraId="16097C79">
            <w:pPr>
              <w:spacing w:before="100" w:after="100" w:line="240" w:lineRule="auto"/>
              <w:ind w:left="100" w:right="100" w:firstLine="0"/>
              <w:jc w:val="left"/>
            </w:pPr>
            <w:r>
              <w:rPr>
                <w:rFonts w:ascii="DejaVu Sans" w:hAnsi="DejaVu Sans" w:eastAsia="DejaVu Sans" w:cs="DejaVu Sans"/>
                <w:color w:val="000000"/>
                <w:sz w:val="18"/>
                <w:szCs w:val="18"/>
              </w:rPr>
              <w:t>Describe the results of the search and selection process, from the number of records identified in the search to the number of studies included in the review, ideally using a flow diagram.</w:t>
            </w:r>
          </w:p>
        </w:tc>
        <w:tc>
          <w:tcPr>
            <w:tcBorders>
              <w:right w:val="single" w:color="000000" w:sz="8" w:space="0"/>
            </w:tcBorders>
            <w:shd w:val="clear" w:color="auto" w:fill="FFFFFF"/>
            <w:tcMar>
              <w:top w:w="0" w:type="dxa"/>
              <w:left w:w="0" w:type="dxa"/>
              <w:bottom w:w="0" w:type="dxa"/>
              <w:right w:w="0" w:type="dxa"/>
            </w:tcMar>
            <w:vAlign w:val="top"/>
          </w:tcPr>
          <w:p w14:paraId="3748A6A2">
            <w:pPr>
              <w:spacing w:before="100" w:after="100" w:line="240" w:lineRule="auto"/>
              <w:ind w:left="100" w:right="100" w:firstLine="0"/>
              <w:jc w:val="center"/>
            </w:pPr>
            <w:r>
              <w:rPr>
                <w:rFonts w:hint="eastAsia" w:ascii="DejaVu Sans" w:hAnsi="DejaVu Sans" w:eastAsia="DejaVu Sans" w:cs="DejaVu Sans"/>
                <w:color w:val="000000"/>
                <w:sz w:val="18"/>
                <w:szCs w:val="18"/>
              </w:rPr>
              <w:t>Section 3.1 Literature Selection: Initial search retrieved 109 records; 40 duplicates removed, 56 excluded after title/abstract screening, 13 assessed for full-text eligibility; finally 5 RCTs with 226 participants included; selection workflow illustrated in PRISMA flow diagram (Figure 1)</w:t>
            </w:r>
          </w:p>
        </w:tc>
      </w:tr>
      <w:tr w14:paraId="713F0FB1">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5476B582">
            <w:pPr>
              <w:spacing w:before="100" w:after="100" w:line="240" w:lineRule="auto"/>
              <w:ind w:left="100" w:right="100" w:firstLine="0"/>
              <w:jc w:val="left"/>
            </w:pPr>
          </w:p>
        </w:tc>
        <w:tc>
          <w:tcPr>
            <w:shd w:val="clear" w:color="auto" w:fill="FFFFFF"/>
            <w:tcMar>
              <w:top w:w="0" w:type="dxa"/>
              <w:left w:w="0" w:type="dxa"/>
              <w:bottom w:w="0" w:type="dxa"/>
              <w:right w:w="0" w:type="dxa"/>
            </w:tcMar>
            <w:vAlign w:val="top"/>
          </w:tcPr>
          <w:p w14:paraId="7DB9CC65">
            <w:pPr>
              <w:spacing w:before="100" w:after="100" w:line="240" w:lineRule="auto"/>
              <w:ind w:left="100" w:right="100" w:firstLine="0"/>
              <w:jc w:val="center"/>
            </w:pPr>
            <w:r>
              <w:rPr>
                <w:rFonts w:ascii="DejaVu Sans" w:hAnsi="DejaVu Sans" w:eastAsia="DejaVu Sans" w:cs="DejaVu Sans"/>
                <w:color w:val="000000"/>
                <w:sz w:val="18"/>
                <w:szCs w:val="18"/>
              </w:rPr>
              <w:t>16b</w:t>
            </w:r>
          </w:p>
        </w:tc>
        <w:tc>
          <w:tcPr>
            <w:shd w:val="clear" w:color="auto" w:fill="FFFFFF"/>
            <w:tcMar>
              <w:top w:w="0" w:type="dxa"/>
              <w:left w:w="0" w:type="dxa"/>
              <w:bottom w:w="0" w:type="dxa"/>
              <w:right w:w="0" w:type="dxa"/>
            </w:tcMar>
            <w:vAlign w:val="top"/>
          </w:tcPr>
          <w:p w14:paraId="771DBB01">
            <w:pPr>
              <w:spacing w:before="100" w:after="100" w:line="240" w:lineRule="auto"/>
              <w:ind w:left="100" w:right="100" w:firstLine="0"/>
              <w:jc w:val="left"/>
            </w:pPr>
            <w:r>
              <w:rPr>
                <w:rFonts w:ascii="DejaVu Sans" w:hAnsi="DejaVu Sans" w:eastAsia="DejaVu Sans" w:cs="DejaVu Sans"/>
                <w:color w:val="000000"/>
                <w:sz w:val="18"/>
                <w:szCs w:val="18"/>
              </w:rPr>
              <w:t>Cite studies that might appear to meet the inclusion criteria, but which were excluded, and explain why they were excluded.</w:t>
            </w:r>
          </w:p>
        </w:tc>
        <w:tc>
          <w:tcPr>
            <w:tcBorders>
              <w:right w:val="single" w:color="000000" w:sz="8" w:space="0"/>
            </w:tcBorders>
            <w:shd w:val="clear" w:color="auto" w:fill="FFFFFF"/>
            <w:tcMar>
              <w:top w:w="0" w:type="dxa"/>
              <w:left w:w="0" w:type="dxa"/>
              <w:bottom w:w="0" w:type="dxa"/>
              <w:right w:w="0" w:type="dxa"/>
            </w:tcMar>
            <w:vAlign w:val="top"/>
          </w:tcPr>
          <w:p w14:paraId="54A8568B">
            <w:pPr>
              <w:spacing w:before="100" w:after="100" w:line="240" w:lineRule="auto"/>
              <w:ind w:left="100" w:right="100" w:firstLine="0"/>
              <w:jc w:val="center"/>
            </w:pPr>
            <w:r>
              <w:rPr>
                <w:rFonts w:hint="eastAsia" w:ascii="DejaVu Sans" w:hAnsi="DejaVu Sans" w:eastAsia="DejaVu Sans" w:cs="DejaVu Sans"/>
                <w:color w:val="000000"/>
                <w:sz w:val="18"/>
                <w:szCs w:val="18"/>
              </w:rPr>
              <w:t>Section 3.1 and Figure 1: Full-text exclusions mainly due to lack of quantitative target outcomes, non-RCT design, case series, reviews or conference abstracts</w:t>
            </w:r>
          </w:p>
        </w:tc>
      </w:tr>
      <w:tr w14:paraId="01E34402">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68DD1BDE">
            <w:pPr>
              <w:spacing w:before="100" w:after="100" w:line="240" w:lineRule="auto"/>
              <w:ind w:left="100" w:right="100" w:firstLine="0"/>
              <w:jc w:val="left"/>
            </w:pPr>
            <w:r>
              <w:rPr>
                <w:rFonts w:ascii="DejaVu Sans" w:hAnsi="DejaVu Sans" w:eastAsia="DejaVu Sans" w:cs="DejaVu Sans"/>
                <w:b/>
                <w:color w:val="000000"/>
                <w:sz w:val="18"/>
                <w:szCs w:val="18"/>
              </w:rPr>
              <w:t>Study characteristics</w:t>
            </w:r>
          </w:p>
        </w:tc>
        <w:tc>
          <w:tcPr>
            <w:shd w:val="clear" w:color="auto" w:fill="FFFFFF"/>
            <w:tcMar>
              <w:top w:w="0" w:type="dxa"/>
              <w:left w:w="0" w:type="dxa"/>
              <w:bottom w:w="0" w:type="dxa"/>
              <w:right w:w="0" w:type="dxa"/>
            </w:tcMar>
            <w:vAlign w:val="top"/>
          </w:tcPr>
          <w:p w14:paraId="402C5518">
            <w:pPr>
              <w:spacing w:before="100" w:after="100" w:line="240" w:lineRule="auto"/>
              <w:ind w:left="100" w:right="100" w:firstLine="0"/>
              <w:jc w:val="center"/>
            </w:pPr>
            <w:r>
              <w:rPr>
                <w:rFonts w:ascii="DejaVu Sans" w:hAnsi="DejaVu Sans" w:eastAsia="DejaVu Sans" w:cs="DejaVu Sans"/>
                <w:color w:val="000000"/>
                <w:sz w:val="18"/>
                <w:szCs w:val="18"/>
              </w:rPr>
              <w:t>17</w:t>
            </w:r>
          </w:p>
        </w:tc>
        <w:tc>
          <w:tcPr>
            <w:shd w:val="clear" w:color="auto" w:fill="FFFFFF"/>
            <w:tcMar>
              <w:top w:w="0" w:type="dxa"/>
              <w:left w:w="0" w:type="dxa"/>
              <w:bottom w:w="0" w:type="dxa"/>
              <w:right w:w="0" w:type="dxa"/>
            </w:tcMar>
            <w:vAlign w:val="top"/>
          </w:tcPr>
          <w:p w14:paraId="739F61F4">
            <w:pPr>
              <w:spacing w:before="100" w:after="100" w:line="240" w:lineRule="auto"/>
              <w:ind w:left="100" w:right="100" w:firstLine="0"/>
              <w:jc w:val="left"/>
            </w:pPr>
            <w:r>
              <w:rPr>
                <w:rFonts w:ascii="DejaVu Sans" w:hAnsi="DejaVu Sans" w:eastAsia="DejaVu Sans" w:cs="DejaVu Sans"/>
                <w:color w:val="000000"/>
                <w:sz w:val="18"/>
                <w:szCs w:val="18"/>
              </w:rPr>
              <w:t>Cite each included study and present its characteristics.</w:t>
            </w:r>
          </w:p>
        </w:tc>
        <w:tc>
          <w:tcPr>
            <w:tcBorders>
              <w:right w:val="single" w:color="000000" w:sz="8" w:space="0"/>
            </w:tcBorders>
            <w:shd w:val="clear" w:color="auto" w:fill="FFFFFF"/>
            <w:tcMar>
              <w:top w:w="0" w:type="dxa"/>
              <w:left w:w="0" w:type="dxa"/>
              <w:bottom w:w="0" w:type="dxa"/>
              <w:right w:w="0" w:type="dxa"/>
            </w:tcMar>
            <w:vAlign w:val="top"/>
          </w:tcPr>
          <w:p w14:paraId="1E8BB2C4">
            <w:pPr>
              <w:spacing w:before="100" w:after="100" w:line="240" w:lineRule="auto"/>
              <w:ind w:left="100" w:right="100" w:firstLine="0"/>
              <w:jc w:val="center"/>
            </w:pPr>
            <w:r>
              <w:rPr>
                <w:rFonts w:hint="eastAsia" w:ascii="DejaVu Sans" w:hAnsi="DejaVu Sans" w:eastAsia="DejaVu Sans" w:cs="DejaVu Sans"/>
                <w:color w:val="000000"/>
                <w:sz w:val="18"/>
                <w:szCs w:val="18"/>
              </w:rPr>
              <w:t>Section 3.2 Study Characteristics: 5 RCTs published 2023–2025 (1 Belgium, 1 Finland, 3 China); total sample n=226 (FMT=119, control=107); demographic baseline and intervention details summarized in Table 2 &amp; Table 3, references [21–25] cited</w:t>
            </w:r>
          </w:p>
        </w:tc>
      </w:tr>
      <w:tr w14:paraId="3E629EB8">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4127DFA1">
            <w:pPr>
              <w:spacing w:before="100" w:after="100" w:line="240" w:lineRule="auto"/>
              <w:ind w:left="100" w:right="100" w:firstLine="0"/>
              <w:jc w:val="left"/>
            </w:pPr>
            <w:r>
              <w:rPr>
                <w:rFonts w:ascii="DejaVu Sans" w:hAnsi="DejaVu Sans" w:eastAsia="DejaVu Sans" w:cs="DejaVu Sans"/>
                <w:b/>
                <w:color w:val="000000"/>
                <w:sz w:val="18"/>
                <w:szCs w:val="18"/>
              </w:rPr>
              <w:t>Risk of bias in studies</w:t>
            </w:r>
          </w:p>
        </w:tc>
        <w:tc>
          <w:tcPr>
            <w:shd w:val="clear" w:color="auto" w:fill="FFFFFF"/>
            <w:tcMar>
              <w:top w:w="0" w:type="dxa"/>
              <w:left w:w="0" w:type="dxa"/>
              <w:bottom w:w="0" w:type="dxa"/>
              <w:right w:w="0" w:type="dxa"/>
            </w:tcMar>
            <w:vAlign w:val="top"/>
          </w:tcPr>
          <w:p w14:paraId="3F387FC7">
            <w:pPr>
              <w:spacing w:before="100" w:after="100" w:line="240" w:lineRule="auto"/>
              <w:ind w:left="100" w:right="100" w:firstLine="0"/>
              <w:jc w:val="center"/>
            </w:pPr>
            <w:r>
              <w:rPr>
                <w:rFonts w:ascii="DejaVu Sans" w:hAnsi="DejaVu Sans" w:eastAsia="DejaVu Sans" w:cs="DejaVu Sans"/>
                <w:color w:val="000000"/>
                <w:sz w:val="18"/>
                <w:szCs w:val="18"/>
              </w:rPr>
              <w:t>18</w:t>
            </w:r>
          </w:p>
        </w:tc>
        <w:tc>
          <w:tcPr>
            <w:shd w:val="clear" w:color="auto" w:fill="FFFFFF"/>
            <w:tcMar>
              <w:top w:w="0" w:type="dxa"/>
              <w:left w:w="0" w:type="dxa"/>
              <w:bottom w:w="0" w:type="dxa"/>
              <w:right w:w="0" w:type="dxa"/>
            </w:tcMar>
            <w:vAlign w:val="top"/>
          </w:tcPr>
          <w:p w14:paraId="40FD9CD7">
            <w:pPr>
              <w:spacing w:before="100" w:after="100" w:line="240" w:lineRule="auto"/>
              <w:ind w:left="100" w:right="100" w:firstLine="0"/>
              <w:jc w:val="left"/>
            </w:pPr>
            <w:r>
              <w:rPr>
                <w:rFonts w:ascii="DejaVu Sans" w:hAnsi="DejaVu Sans" w:eastAsia="DejaVu Sans" w:cs="DejaVu Sans"/>
                <w:color w:val="000000"/>
                <w:sz w:val="18"/>
                <w:szCs w:val="18"/>
              </w:rPr>
              <w:t>Present assessments of risk of bias for each included study.</w:t>
            </w:r>
          </w:p>
        </w:tc>
        <w:tc>
          <w:tcPr>
            <w:tcBorders>
              <w:right w:val="single" w:color="000000" w:sz="8" w:space="0"/>
            </w:tcBorders>
            <w:shd w:val="clear" w:color="auto" w:fill="FFFFFF"/>
            <w:tcMar>
              <w:top w:w="0" w:type="dxa"/>
              <w:left w:w="0" w:type="dxa"/>
              <w:bottom w:w="0" w:type="dxa"/>
              <w:right w:w="0" w:type="dxa"/>
            </w:tcMar>
            <w:vAlign w:val="top"/>
          </w:tcPr>
          <w:p w14:paraId="0D0F1708">
            <w:pPr>
              <w:spacing w:before="100" w:after="100" w:line="240" w:lineRule="auto"/>
              <w:ind w:left="100" w:right="100" w:firstLine="0"/>
              <w:jc w:val="center"/>
            </w:pPr>
            <w:r>
              <w:rPr>
                <w:rFonts w:hint="eastAsia" w:ascii="DejaVu Sans" w:hAnsi="DejaVu Sans" w:eastAsia="DejaVu Sans" w:cs="DejaVu Sans"/>
                <w:color w:val="000000"/>
                <w:sz w:val="18"/>
                <w:szCs w:val="18"/>
              </w:rPr>
              <w:t>Section 3.3 Bias Assessment: Mixed methodological quality across trials; one trial rated high risk of bias due to unclear blinding of participants and personnel; remaining studies raised concerns regarding blinding and allocation concealment; visualized in Figure 2 (summary plot) and Figure 3 (traffic light plot)</w:t>
            </w:r>
          </w:p>
        </w:tc>
      </w:tr>
      <w:tr w14:paraId="36A0021A">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08C3DD9E">
            <w:pPr>
              <w:spacing w:before="100" w:after="100" w:line="240" w:lineRule="auto"/>
              <w:ind w:left="100" w:right="100" w:firstLine="0"/>
              <w:jc w:val="left"/>
            </w:pPr>
            <w:r>
              <w:rPr>
                <w:rFonts w:ascii="DejaVu Sans" w:hAnsi="DejaVu Sans" w:eastAsia="DejaVu Sans" w:cs="DejaVu Sans"/>
                <w:b/>
                <w:color w:val="000000"/>
                <w:sz w:val="18"/>
                <w:szCs w:val="18"/>
              </w:rPr>
              <w:t>Results of individual studies</w:t>
            </w:r>
          </w:p>
        </w:tc>
        <w:tc>
          <w:tcPr>
            <w:shd w:val="clear" w:color="auto" w:fill="FFFFFF"/>
            <w:tcMar>
              <w:top w:w="0" w:type="dxa"/>
              <w:left w:w="0" w:type="dxa"/>
              <w:bottom w:w="0" w:type="dxa"/>
              <w:right w:w="0" w:type="dxa"/>
            </w:tcMar>
            <w:vAlign w:val="top"/>
          </w:tcPr>
          <w:p w14:paraId="2FE6A82B">
            <w:pPr>
              <w:spacing w:before="100" w:after="100" w:line="240" w:lineRule="auto"/>
              <w:ind w:left="100" w:right="100" w:firstLine="0"/>
              <w:jc w:val="center"/>
            </w:pPr>
            <w:r>
              <w:rPr>
                <w:rFonts w:ascii="DejaVu Sans" w:hAnsi="DejaVu Sans" w:eastAsia="DejaVu Sans" w:cs="DejaVu Sans"/>
                <w:color w:val="000000"/>
                <w:sz w:val="18"/>
                <w:szCs w:val="18"/>
              </w:rPr>
              <w:t>19</w:t>
            </w:r>
          </w:p>
        </w:tc>
        <w:tc>
          <w:tcPr>
            <w:shd w:val="clear" w:color="auto" w:fill="FFFFFF"/>
            <w:tcMar>
              <w:top w:w="0" w:type="dxa"/>
              <w:left w:w="0" w:type="dxa"/>
              <w:bottom w:w="0" w:type="dxa"/>
              <w:right w:w="0" w:type="dxa"/>
            </w:tcMar>
            <w:vAlign w:val="top"/>
          </w:tcPr>
          <w:p w14:paraId="7738B214">
            <w:pPr>
              <w:spacing w:before="100" w:after="100" w:line="240" w:lineRule="auto"/>
              <w:ind w:left="100" w:right="100" w:firstLine="0"/>
              <w:jc w:val="left"/>
            </w:pPr>
            <w:r>
              <w:rPr>
                <w:rFonts w:ascii="DejaVu Sans" w:hAnsi="DejaVu Sans" w:eastAsia="DejaVu Sans" w:cs="DejaVu Sans"/>
                <w:color w:val="000000"/>
                <w:sz w:val="18"/>
                <w:szCs w:val="18"/>
              </w:rPr>
              <w:t>For all outcomes, present, for each study: (a) summary statistics for each group (where appropriate) and (b) an effect estimate and its precision (e.g. confidence/credible interval), ideally using structured tables or plots.</w:t>
            </w:r>
          </w:p>
        </w:tc>
        <w:tc>
          <w:tcPr>
            <w:tcBorders>
              <w:right w:val="single" w:color="000000" w:sz="8" w:space="0"/>
            </w:tcBorders>
            <w:shd w:val="clear" w:color="auto" w:fill="FFFFFF"/>
            <w:tcMar>
              <w:top w:w="0" w:type="dxa"/>
              <w:left w:w="0" w:type="dxa"/>
              <w:bottom w:w="0" w:type="dxa"/>
              <w:right w:w="0" w:type="dxa"/>
            </w:tcMar>
            <w:vAlign w:val="top"/>
          </w:tcPr>
          <w:p w14:paraId="590702E6">
            <w:pPr>
              <w:spacing w:before="100" w:after="100" w:line="240" w:lineRule="auto"/>
              <w:ind w:left="100" w:right="100" w:firstLine="0"/>
              <w:jc w:val="center"/>
            </w:pPr>
            <w:r>
              <w:rPr>
                <w:rFonts w:hint="eastAsia" w:ascii="DejaVu Sans" w:hAnsi="DejaVu Sans" w:eastAsia="DejaVu Sans" w:cs="DejaVu Sans"/>
                <w:color w:val="000000"/>
                <w:sz w:val="18"/>
                <w:szCs w:val="18"/>
              </w:rPr>
              <w:t>Table 1 reports MD and 95% CI for each outcome; forest plots (Figure 4–12) display individual study mean, SD, weight and pooled effects; baseline demographic and intervention data in Table 2 &amp; Table 3</w:t>
            </w:r>
          </w:p>
        </w:tc>
      </w:tr>
      <w:tr w14:paraId="4779A117">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69088321">
            <w:pPr>
              <w:spacing w:before="100" w:after="100" w:line="240" w:lineRule="auto"/>
              <w:ind w:left="100" w:right="100" w:firstLine="0"/>
              <w:jc w:val="left"/>
            </w:pPr>
            <w:r>
              <w:rPr>
                <w:rFonts w:ascii="DejaVu Sans" w:hAnsi="DejaVu Sans" w:eastAsia="DejaVu Sans" w:cs="DejaVu Sans"/>
                <w:b/>
                <w:color w:val="000000"/>
                <w:sz w:val="18"/>
                <w:szCs w:val="18"/>
              </w:rPr>
              <w:t>Results of syntheses</w:t>
            </w:r>
          </w:p>
        </w:tc>
        <w:tc>
          <w:tcPr>
            <w:shd w:val="clear" w:color="auto" w:fill="FFFFFF"/>
            <w:tcMar>
              <w:top w:w="0" w:type="dxa"/>
              <w:left w:w="0" w:type="dxa"/>
              <w:bottom w:w="0" w:type="dxa"/>
              <w:right w:w="0" w:type="dxa"/>
            </w:tcMar>
            <w:vAlign w:val="top"/>
          </w:tcPr>
          <w:p w14:paraId="33625829">
            <w:pPr>
              <w:spacing w:before="100" w:after="100" w:line="240" w:lineRule="auto"/>
              <w:ind w:left="100" w:right="100" w:firstLine="0"/>
              <w:jc w:val="center"/>
            </w:pPr>
            <w:r>
              <w:rPr>
                <w:rFonts w:ascii="DejaVu Sans" w:hAnsi="DejaVu Sans" w:eastAsia="DejaVu Sans" w:cs="DejaVu Sans"/>
                <w:color w:val="000000"/>
                <w:sz w:val="18"/>
                <w:szCs w:val="18"/>
              </w:rPr>
              <w:t>20a</w:t>
            </w:r>
          </w:p>
        </w:tc>
        <w:tc>
          <w:tcPr>
            <w:shd w:val="clear" w:color="auto" w:fill="FFFFFF"/>
            <w:tcMar>
              <w:top w:w="0" w:type="dxa"/>
              <w:left w:w="0" w:type="dxa"/>
              <w:bottom w:w="0" w:type="dxa"/>
              <w:right w:w="0" w:type="dxa"/>
            </w:tcMar>
            <w:vAlign w:val="top"/>
          </w:tcPr>
          <w:p w14:paraId="40073538">
            <w:pPr>
              <w:spacing w:before="100" w:after="100" w:line="240" w:lineRule="auto"/>
              <w:ind w:left="100" w:right="100" w:firstLine="0"/>
              <w:jc w:val="left"/>
            </w:pPr>
            <w:r>
              <w:rPr>
                <w:rFonts w:ascii="DejaVu Sans" w:hAnsi="DejaVu Sans" w:eastAsia="DejaVu Sans" w:cs="DejaVu Sans"/>
                <w:color w:val="000000"/>
                <w:sz w:val="18"/>
                <w:szCs w:val="18"/>
              </w:rPr>
              <w:t>For each synthesis, briefly summarise the characteristics and risk of bias among contributing studies.</w:t>
            </w:r>
          </w:p>
        </w:tc>
        <w:tc>
          <w:tcPr>
            <w:tcBorders>
              <w:right w:val="single" w:color="000000" w:sz="8" w:space="0"/>
            </w:tcBorders>
            <w:shd w:val="clear" w:color="auto" w:fill="FFFFFF"/>
            <w:tcMar>
              <w:top w:w="0" w:type="dxa"/>
              <w:left w:w="0" w:type="dxa"/>
              <w:bottom w:w="0" w:type="dxa"/>
              <w:right w:w="0" w:type="dxa"/>
            </w:tcMar>
            <w:vAlign w:val="top"/>
          </w:tcPr>
          <w:p w14:paraId="7809F2B9">
            <w:pPr>
              <w:spacing w:before="100" w:after="100" w:line="240" w:lineRule="auto"/>
              <w:ind w:left="100" w:right="100" w:firstLine="0"/>
              <w:jc w:val="center"/>
            </w:pPr>
            <w:r>
              <w:rPr>
                <w:rFonts w:hint="eastAsia" w:ascii="DejaVu Sans" w:hAnsi="DejaVu Sans" w:eastAsia="DejaVu Sans" w:cs="DejaVu Sans"/>
                <w:color w:val="000000"/>
                <w:sz w:val="18"/>
                <w:szCs w:val="18"/>
              </w:rPr>
              <w:t>Section 3.4 briefly describes number of trials, total sample size, overall risk of bias and heterogeneity level prior to each subgroup meta-analysis</w:t>
            </w:r>
          </w:p>
        </w:tc>
      </w:tr>
      <w:tr w14:paraId="55510ABF">
        <w:tblPrEx>
          <w:tblCellMar>
            <w:top w:w="0" w:type="dxa"/>
            <w:left w:w="108" w:type="dxa"/>
            <w:bottom w:w="0" w:type="dxa"/>
            <w:right w:w="108" w:type="dxa"/>
          </w:tblCellMar>
        </w:tblPrEx>
        <w:trPr>
          <w:cantSplit/>
          <w:trHeight w:val="0" w:hRule="atLeast"/>
          <w:jc w:val="center"/>
        </w:trPr>
        <w:tc>
          <w:tcPr>
            <w:vMerge w:val="restart"/>
            <w:tcBorders>
              <w:left w:val="single" w:color="000000" w:sz="8" w:space="0"/>
            </w:tcBorders>
            <w:shd w:val="clear" w:color="auto" w:fill="FFFFFF"/>
            <w:tcMar>
              <w:top w:w="0" w:type="dxa"/>
              <w:left w:w="0" w:type="dxa"/>
              <w:bottom w:w="0" w:type="dxa"/>
              <w:right w:w="0" w:type="dxa"/>
            </w:tcMar>
            <w:vAlign w:val="top"/>
          </w:tcPr>
          <w:p w14:paraId="4F7844A6">
            <w:pPr>
              <w:spacing w:before="100" w:after="100" w:line="240" w:lineRule="auto"/>
              <w:ind w:left="100" w:right="100" w:firstLine="0"/>
              <w:jc w:val="left"/>
            </w:pPr>
          </w:p>
        </w:tc>
        <w:tc>
          <w:tcPr>
            <w:shd w:val="clear" w:color="auto" w:fill="FFFFFF"/>
            <w:tcMar>
              <w:top w:w="0" w:type="dxa"/>
              <w:left w:w="0" w:type="dxa"/>
              <w:bottom w:w="0" w:type="dxa"/>
              <w:right w:w="0" w:type="dxa"/>
            </w:tcMar>
            <w:vAlign w:val="top"/>
          </w:tcPr>
          <w:p w14:paraId="40A7C5AB">
            <w:pPr>
              <w:spacing w:before="100" w:after="100" w:line="240" w:lineRule="auto"/>
              <w:ind w:left="100" w:right="100" w:firstLine="0"/>
              <w:jc w:val="center"/>
            </w:pPr>
            <w:r>
              <w:rPr>
                <w:rFonts w:ascii="DejaVu Sans" w:hAnsi="DejaVu Sans" w:eastAsia="DejaVu Sans" w:cs="DejaVu Sans"/>
                <w:color w:val="000000"/>
                <w:sz w:val="18"/>
                <w:szCs w:val="18"/>
              </w:rPr>
              <w:t>20b</w:t>
            </w:r>
          </w:p>
        </w:tc>
        <w:tc>
          <w:tcPr>
            <w:shd w:val="clear" w:color="auto" w:fill="FFFFFF"/>
            <w:tcMar>
              <w:top w:w="0" w:type="dxa"/>
              <w:left w:w="0" w:type="dxa"/>
              <w:bottom w:w="0" w:type="dxa"/>
              <w:right w:w="0" w:type="dxa"/>
            </w:tcMar>
            <w:vAlign w:val="top"/>
          </w:tcPr>
          <w:p w14:paraId="34582F26">
            <w:pPr>
              <w:spacing w:before="100" w:after="100" w:line="240" w:lineRule="auto"/>
              <w:ind w:left="100" w:right="100" w:firstLine="0"/>
              <w:jc w:val="left"/>
            </w:pPr>
            <w:r>
              <w:rPr>
                <w:rFonts w:ascii="DejaVu Sans" w:hAnsi="DejaVu Sans" w:eastAsia="DejaVu Sans" w:cs="DejaVu Sans"/>
                <w:color w:val="000000"/>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Borders>
              <w:right w:val="single" w:color="000000" w:sz="8" w:space="0"/>
            </w:tcBorders>
            <w:shd w:val="clear" w:color="auto" w:fill="FFFFFF"/>
            <w:tcMar>
              <w:top w:w="0" w:type="dxa"/>
              <w:left w:w="0" w:type="dxa"/>
              <w:bottom w:w="0" w:type="dxa"/>
              <w:right w:w="0" w:type="dxa"/>
            </w:tcMar>
            <w:vAlign w:val="top"/>
          </w:tcPr>
          <w:p w14:paraId="0F85769A">
            <w:pPr>
              <w:spacing w:before="100" w:after="100" w:line="240" w:lineRule="auto"/>
              <w:ind w:left="100" w:right="100" w:firstLine="0"/>
              <w:jc w:val="center"/>
            </w:pPr>
            <w:r>
              <w:rPr>
                <w:rFonts w:hint="eastAsia" w:ascii="DejaVu Sans" w:hAnsi="DejaVu Sans" w:eastAsia="DejaVu Sans" w:cs="DejaVu Sans"/>
                <w:color w:val="000000"/>
                <w:sz w:val="18"/>
                <w:szCs w:val="18"/>
              </w:rPr>
              <w:t>Section 3.4.1 Motor/Activities of Daily Living outcomes &amp; 3.4.2 Cognitive outcomes report all pooled MD, 95% CI, p-value and I²; all CIs crossed zero with no statistically significant between-group difference; only MDS-UPDRS Part II at week 12 showed borderline trend favouring FMT (p=0.05)</w:t>
            </w:r>
          </w:p>
        </w:tc>
      </w:tr>
      <w:tr w14:paraId="6A6C1805">
        <w:tblPrEx>
          <w:tblCellMar>
            <w:top w:w="0" w:type="dxa"/>
            <w:left w:w="108" w:type="dxa"/>
            <w:bottom w:w="0" w:type="dxa"/>
            <w:right w:w="108" w:type="dxa"/>
          </w:tblCellMar>
        </w:tblPrEx>
        <w:trPr>
          <w:cantSplit/>
          <w:trHeight w:val="0" w:hRule="atLeast"/>
          <w:jc w:val="center"/>
        </w:trPr>
        <w:tc>
          <w:tcPr>
            <w:vMerge w:val="continue"/>
            <w:tcBorders>
              <w:left w:val="single" w:color="000000" w:sz="8" w:space="0"/>
            </w:tcBorders>
            <w:shd w:val="clear" w:color="auto" w:fill="FFFFFF"/>
            <w:tcMar>
              <w:top w:w="0" w:type="dxa"/>
              <w:left w:w="0" w:type="dxa"/>
              <w:bottom w:w="0" w:type="dxa"/>
              <w:right w:w="0" w:type="dxa"/>
            </w:tcMar>
            <w:vAlign w:val="top"/>
          </w:tcPr>
          <w:p w14:paraId="3B18B0C2">
            <w:pPr>
              <w:spacing w:before="100" w:after="100" w:line="240" w:lineRule="auto"/>
              <w:ind w:left="100" w:right="100" w:firstLine="0"/>
              <w:jc w:val="left"/>
            </w:pPr>
          </w:p>
        </w:tc>
        <w:tc>
          <w:tcPr>
            <w:shd w:val="clear" w:color="auto" w:fill="FFFFFF"/>
            <w:tcMar>
              <w:top w:w="0" w:type="dxa"/>
              <w:left w:w="0" w:type="dxa"/>
              <w:bottom w:w="0" w:type="dxa"/>
              <w:right w:w="0" w:type="dxa"/>
            </w:tcMar>
            <w:vAlign w:val="top"/>
          </w:tcPr>
          <w:p w14:paraId="1E5244A6">
            <w:pPr>
              <w:spacing w:before="100" w:after="100" w:line="240" w:lineRule="auto"/>
              <w:ind w:left="100" w:right="100" w:firstLine="0"/>
              <w:jc w:val="center"/>
            </w:pPr>
            <w:r>
              <w:rPr>
                <w:rFonts w:ascii="DejaVu Sans" w:hAnsi="DejaVu Sans" w:eastAsia="DejaVu Sans" w:cs="DejaVu Sans"/>
                <w:color w:val="000000"/>
                <w:sz w:val="18"/>
                <w:szCs w:val="18"/>
              </w:rPr>
              <w:t>20c</w:t>
            </w:r>
          </w:p>
        </w:tc>
        <w:tc>
          <w:tcPr>
            <w:shd w:val="clear" w:color="auto" w:fill="FFFFFF"/>
            <w:tcMar>
              <w:top w:w="0" w:type="dxa"/>
              <w:left w:w="0" w:type="dxa"/>
              <w:bottom w:w="0" w:type="dxa"/>
              <w:right w:w="0" w:type="dxa"/>
            </w:tcMar>
            <w:vAlign w:val="top"/>
          </w:tcPr>
          <w:p w14:paraId="01FFAB95">
            <w:pPr>
              <w:spacing w:before="100" w:after="100" w:line="240" w:lineRule="auto"/>
              <w:ind w:left="100" w:right="100" w:firstLine="0"/>
              <w:jc w:val="left"/>
            </w:pPr>
            <w:r>
              <w:rPr>
                <w:rFonts w:ascii="DejaVu Sans" w:hAnsi="DejaVu Sans" w:eastAsia="DejaVu Sans" w:cs="DejaVu Sans"/>
                <w:color w:val="000000"/>
                <w:sz w:val="18"/>
                <w:szCs w:val="18"/>
              </w:rPr>
              <w:t>Present results of all investigations of possible causes of heterogeneity among study results.</w:t>
            </w:r>
          </w:p>
        </w:tc>
        <w:tc>
          <w:tcPr>
            <w:tcBorders>
              <w:right w:val="single" w:color="000000" w:sz="8" w:space="0"/>
            </w:tcBorders>
            <w:shd w:val="clear" w:color="auto" w:fill="FFFFFF"/>
            <w:tcMar>
              <w:top w:w="0" w:type="dxa"/>
              <w:left w:w="0" w:type="dxa"/>
              <w:bottom w:w="0" w:type="dxa"/>
              <w:right w:w="0" w:type="dxa"/>
            </w:tcMar>
            <w:vAlign w:val="top"/>
          </w:tcPr>
          <w:p w14:paraId="5503D960">
            <w:pPr>
              <w:spacing w:before="100" w:after="100" w:line="240" w:lineRule="auto"/>
              <w:ind w:left="100" w:right="100" w:firstLine="0"/>
              <w:jc w:val="center"/>
            </w:pPr>
            <w:r>
              <w:rPr>
                <w:rFonts w:hint="eastAsia" w:ascii="DejaVu Sans" w:hAnsi="DejaVu Sans" w:eastAsia="DejaVu Sans" w:cs="DejaVu Sans"/>
                <w:color w:val="000000"/>
                <w:sz w:val="18"/>
                <w:szCs w:val="18"/>
              </w:rPr>
              <w:t>Section 3.5: I²=62% for MDS-UPDRS Part III week 12; leave-one-out sensitivity analysis identified Wang et al. (2025) (fresh stool administered via colonoscopy) as the main source of heterogeneity, driven by divergent FMT preparation and delivery routes</w:t>
            </w:r>
          </w:p>
        </w:tc>
      </w:tr>
      <w:tr w14:paraId="31E1A3FF">
        <w:tblPrEx>
          <w:tblCellMar>
            <w:top w:w="0" w:type="dxa"/>
            <w:left w:w="108" w:type="dxa"/>
            <w:bottom w:w="0" w:type="dxa"/>
            <w:right w:w="108" w:type="dxa"/>
          </w:tblCellMar>
        </w:tblPrEx>
        <w:trPr>
          <w:cantSplit/>
          <w:trHeight w:val="0" w:hRule="atLeast"/>
          <w:jc w:val="center"/>
        </w:trPr>
        <w:tc>
          <w:tcPr>
            <w:vMerge w:val="continue"/>
            <w:tcBorders>
              <w:left w:val="single" w:color="000000" w:sz="8" w:space="0"/>
            </w:tcBorders>
            <w:shd w:val="clear" w:color="auto" w:fill="FFFFFF"/>
            <w:tcMar>
              <w:top w:w="0" w:type="dxa"/>
              <w:left w:w="0" w:type="dxa"/>
              <w:bottom w:w="0" w:type="dxa"/>
              <w:right w:w="0" w:type="dxa"/>
            </w:tcMar>
            <w:vAlign w:val="top"/>
          </w:tcPr>
          <w:p w14:paraId="432730D3">
            <w:pPr>
              <w:spacing w:before="100" w:after="100" w:line="240" w:lineRule="auto"/>
              <w:ind w:left="100" w:right="100" w:firstLine="0"/>
              <w:jc w:val="left"/>
            </w:pPr>
          </w:p>
        </w:tc>
        <w:tc>
          <w:tcPr>
            <w:shd w:val="clear" w:color="auto" w:fill="FFFFFF"/>
            <w:tcMar>
              <w:top w:w="0" w:type="dxa"/>
              <w:left w:w="0" w:type="dxa"/>
              <w:bottom w:w="0" w:type="dxa"/>
              <w:right w:w="0" w:type="dxa"/>
            </w:tcMar>
            <w:vAlign w:val="top"/>
          </w:tcPr>
          <w:p w14:paraId="35011C5D">
            <w:pPr>
              <w:spacing w:before="100" w:after="100" w:line="240" w:lineRule="auto"/>
              <w:ind w:left="100" w:right="100" w:firstLine="0"/>
              <w:jc w:val="center"/>
            </w:pPr>
            <w:r>
              <w:rPr>
                <w:rFonts w:ascii="DejaVu Sans" w:hAnsi="DejaVu Sans" w:eastAsia="DejaVu Sans" w:cs="DejaVu Sans"/>
                <w:color w:val="000000"/>
                <w:sz w:val="18"/>
                <w:szCs w:val="18"/>
              </w:rPr>
              <w:t>20d</w:t>
            </w:r>
          </w:p>
        </w:tc>
        <w:tc>
          <w:tcPr>
            <w:shd w:val="clear" w:color="auto" w:fill="FFFFFF"/>
            <w:tcMar>
              <w:top w:w="0" w:type="dxa"/>
              <w:left w:w="0" w:type="dxa"/>
              <w:bottom w:w="0" w:type="dxa"/>
              <w:right w:w="0" w:type="dxa"/>
            </w:tcMar>
            <w:vAlign w:val="top"/>
          </w:tcPr>
          <w:p w14:paraId="37ADBAAE">
            <w:pPr>
              <w:spacing w:before="100" w:after="100" w:line="240" w:lineRule="auto"/>
              <w:ind w:left="100" w:right="100" w:firstLine="0"/>
              <w:jc w:val="left"/>
            </w:pPr>
            <w:r>
              <w:rPr>
                <w:rFonts w:ascii="DejaVu Sans" w:hAnsi="DejaVu Sans" w:eastAsia="DejaVu Sans" w:cs="DejaVu Sans"/>
                <w:color w:val="000000"/>
                <w:sz w:val="18"/>
                <w:szCs w:val="18"/>
              </w:rPr>
              <w:t>Present results of all sensitivity analyses conducted to assess the robustness of the synthesized results.</w:t>
            </w:r>
          </w:p>
        </w:tc>
        <w:tc>
          <w:tcPr>
            <w:tcBorders>
              <w:right w:val="single" w:color="000000" w:sz="8" w:space="0"/>
            </w:tcBorders>
            <w:shd w:val="clear" w:color="auto" w:fill="FFFFFF"/>
            <w:tcMar>
              <w:top w:w="0" w:type="dxa"/>
              <w:left w:w="0" w:type="dxa"/>
              <w:bottom w:w="0" w:type="dxa"/>
              <w:right w:w="0" w:type="dxa"/>
            </w:tcMar>
            <w:vAlign w:val="top"/>
          </w:tcPr>
          <w:p w14:paraId="44F0484B">
            <w:pPr>
              <w:spacing w:before="100" w:after="100" w:line="240" w:lineRule="auto"/>
              <w:ind w:left="100" w:right="100" w:firstLine="0"/>
              <w:jc w:val="center"/>
            </w:pPr>
            <w:r>
              <w:rPr>
                <w:rFonts w:hint="eastAsia" w:ascii="DejaVu Sans" w:hAnsi="DejaVu Sans" w:eastAsia="DejaVu Sans" w:cs="DejaVu Sans"/>
                <w:color w:val="000000"/>
                <w:sz w:val="18"/>
                <w:szCs w:val="18"/>
              </w:rPr>
              <w:t>Section 3.5 fully describes two sensitivity approaches: varying correlation coefficients and leave-one-out exclusion; pooled conclusions remained materially unchanged, confirming robust results</w:t>
            </w:r>
          </w:p>
        </w:tc>
      </w:tr>
      <w:tr w14:paraId="2A728327">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5D4F5218">
            <w:pPr>
              <w:spacing w:before="100" w:after="100" w:line="240" w:lineRule="auto"/>
              <w:ind w:left="100" w:right="100" w:firstLine="0"/>
              <w:jc w:val="left"/>
            </w:pPr>
            <w:r>
              <w:rPr>
                <w:rFonts w:ascii="DejaVu Sans" w:hAnsi="DejaVu Sans" w:eastAsia="DejaVu Sans" w:cs="DejaVu Sans"/>
                <w:b/>
                <w:color w:val="000000"/>
                <w:sz w:val="18"/>
                <w:szCs w:val="18"/>
              </w:rPr>
              <w:t>Reporting biases</w:t>
            </w:r>
          </w:p>
        </w:tc>
        <w:tc>
          <w:tcPr>
            <w:shd w:val="clear" w:color="auto" w:fill="FFFFFF"/>
            <w:tcMar>
              <w:top w:w="0" w:type="dxa"/>
              <w:left w:w="0" w:type="dxa"/>
              <w:bottom w:w="0" w:type="dxa"/>
              <w:right w:w="0" w:type="dxa"/>
            </w:tcMar>
            <w:vAlign w:val="top"/>
          </w:tcPr>
          <w:p w14:paraId="07247173">
            <w:pPr>
              <w:spacing w:before="100" w:after="100" w:line="240" w:lineRule="auto"/>
              <w:ind w:left="100" w:right="100" w:firstLine="0"/>
              <w:jc w:val="center"/>
            </w:pPr>
            <w:r>
              <w:rPr>
                <w:rFonts w:ascii="DejaVu Sans" w:hAnsi="DejaVu Sans" w:eastAsia="DejaVu Sans" w:cs="DejaVu Sans"/>
                <w:color w:val="000000"/>
                <w:sz w:val="18"/>
                <w:szCs w:val="18"/>
              </w:rPr>
              <w:t>21</w:t>
            </w:r>
          </w:p>
        </w:tc>
        <w:tc>
          <w:tcPr>
            <w:shd w:val="clear" w:color="auto" w:fill="FFFFFF"/>
            <w:tcMar>
              <w:top w:w="0" w:type="dxa"/>
              <w:left w:w="0" w:type="dxa"/>
              <w:bottom w:w="0" w:type="dxa"/>
              <w:right w:w="0" w:type="dxa"/>
            </w:tcMar>
            <w:vAlign w:val="top"/>
          </w:tcPr>
          <w:p w14:paraId="1C6935FF">
            <w:pPr>
              <w:spacing w:before="100" w:after="100" w:line="240" w:lineRule="auto"/>
              <w:ind w:left="100" w:right="100" w:firstLine="0"/>
              <w:jc w:val="left"/>
            </w:pPr>
            <w:r>
              <w:rPr>
                <w:rFonts w:ascii="DejaVu Sans" w:hAnsi="DejaVu Sans" w:eastAsia="DejaVu Sans" w:cs="DejaVu Sans"/>
                <w:color w:val="000000"/>
                <w:sz w:val="18"/>
                <w:szCs w:val="18"/>
              </w:rPr>
              <w:t>Present assessments of risk of bias due to missing results (arising from reporting biases) for each synthesis assessed.</w:t>
            </w:r>
          </w:p>
        </w:tc>
        <w:tc>
          <w:tcPr>
            <w:tcBorders>
              <w:right w:val="single" w:color="000000" w:sz="8" w:space="0"/>
            </w:tcBorders>
            <w:shd w:val="clear" w:color="auto" w:fill="FFFFFF"/>
            <w:tcMar>
              <w:top w:w="0" w:type="dxa"/>
              <w:left w:w="0" w:type="dxa"/>
              <w:bottom w:w="0" w:type="dxa"/>
              <w:right w:w="0" w:type="dxa"/>
            </w:tcMar>
            <w:vAlign w:val="top"/>
          </w:tcPr>
          <w:p w14:paraId="42EC8715">
            <w:pPr>
              <w:spacing w:before="100" w:after="100" w:line="240" w:lineRule="auto"/>
              <w:ind w:left="100" w:right="100" w:firstLine="0"/>
              <w:jc w:val="center"/>
            </w:pPr>
            <w:r>
              <w:rPr>
                <w:rFonts w:hint="eastAsia" w:ascii="DejaVu Sans" w:hAnsi="DejaVu Sans" w:eastAsia="DejaVu Sans" w:cs="DejaVu Sans"/>
                <w:color w:val="000000"/>
                <w:sz w:val="18"/>
                <w:szCs w:val="18"/>
              </w:rPr>
              <w:t>Section 3.5: Funnel plots attempted but underpowered due to limited study count; reliable publication bias evaluation impossible, limitation discussed in Section 5 Limitations</w:t>
            </w:r>
          </w:p>
        </w:tc>
      </w:tr>
      <w:tr w14:paraId="5944F1CF">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3266997E">
            <w:pPr>
              <w:spacing w:before="100" w:after="100" w:line="240" w:lineRule="auto"/>
              <w:ind w:left="100" w:right="100" w:firstLine="0"/>
              <w:jc w:val="left"/>
            </w:pPr>
            <w:r>
              <w:rPr>
                <w:rFonts w:ascii="DejaVu Sans" w:hAnsi="DejaVu Sans" w:eastAsia="DejaVu Sans" w:cs="DejaVu Sans"/>
                <w:b/>
                <w:color w:val="000000"/>
                <w:sz w:val="18"/>
                <w:szCs w:val="18"/>
              </w:rPr>
              <w:t>Certainty of evidence</w:t>
            </w:r>
          </w:p>
        </w:tc>
        <w:tc>
          <w:tcPr>
            <w:shd w:val="clear" w:color="auto" w:fill="FFFFFF"/>
            <w:tcMar>
              <w:top w:w="0" w:type="dxa"/>
              <w:left w:w="0" w:type="dxa"/>
              <w:bottom w:w="0" w:type="dxa"/>
              <w:right w:w="0" w:type="dxa"/>
            </w:tcMar>
            <w:vAlign w:val="top"/>
          </w:tcPr>
          <w:p w14:paraId="10F8B6D4">
            <w:pPr>
              <w:spacing w:before="100" w:after="100" w:line="240" w:lineRule="auto"/>
              <w:ind w:left="100" w:right="100" w:firstLine="0"/>
              <w:jc w:val="center"/>
            </w:pPr>
            <w:r>
              <w:rPr>
                <w:rFonts w:ascii="DejaVu Sans" w:hAnsi="DejaVu Sans" w:eastAsia="DejaVu Sans" w:cs="DejaVu Sans"/>
                <w:color w:val="000000"/>
                <w:sz w:val="18"/>
                <w:szCs w:val="18"/>
              </w:rPr>
              <w:t>22</w:t>
            </w:r>
          </w:p>
        </w:tc>
        <w:tc>
          <w:tcPr>
            <w:shd w:val="clear" w:color="auto" w:fill="FFFFFF"/>
            <w:tcMar>
              <w:top w:w="0" w:type="dxa"/>
              <w:left w:w="0" w:type="dxa"/>
              <w:bottom w:w="0" w:type="dxa"/>
              <w:right w:w="0" w:type="dxa"/>
            </w:tcMar>
            <w:vAlign w:val="top"/>
          </w:tcPr>
          <w:p w14:paraId="0E0D4D4F">
            <w:pPr>
              <w:spacing w:before="100" w:after="100" w:line="240" w:lineRule="auto"/>
              <w:ind w:left="100" w:right="100" w:firstLine="0"/>
              <w:jc w:val="left"/>
            </w:pPr>
            <w:r>
              <w:rPr>
                <w:rFonts w:ascii="DejaVu Sans" w:hAnsi="DejaVu Sans" w:eastAsia="DejaVu Sans" w:cs="DejaVu Sans"/>
                <w:color w:val="000000"/>
                <w:sz w:val="18"/>
                <w:szCs w:val="18"/>
              </w:rPr>
              <w:t>Present assessments of certainty (or confidence) in the body of evidence for each outcome assessed.</w:t>
            </w:r>
          </w:p>
        </w:tc>
        <w:tc>
          <w:tcPr>
            <w:tcBorders>
              <w:right w:val="single" w:color="000000" w:sz="8" w:space="0"/>
            </w:tcBorders>
            <w:shd w:val="clear" w:color="auto" w:fill="FFFFFF"/>
            <w:tcMar>
              <w:top w:w="0" w:type="dxa"/>
              <w:left w:w="0" w:type="dxa"/>
              <w:bottom w:w="0" w:type="dxa"/>
              <w:right w:w="0" w:type="dxa"/>
            </w:tcMar>
            <w:vAlign w:val="top"/>
          </w:tcPr>
          <w:p w14:paraId="3665BEBD">
            <w:pPr>
              <w:spacing w:before="100" w:after="100" w:line="240" w:lineRule="auto"/>
              <w:ind w:left="100" w:right="100" w:firstLine="0"/>
              <w:jc w:val="center"/>
            </w:pPr>
            <w:r>
              <w:rPr>
                <w:rFonts w:hint="eastAsia" w:ascii="DejaVu Sans" w:hAnsi="DejaVu Sans" w:eastAsia="DejaVu Sans" w:cs="DejaVu Sans"/>
                <w:color w:val="000000"/>
                <w:sz w:val="18"/>
                <w:szCs w:val="18"/>
              </w:rPr>
              <w:t>Table 1 GRADE summary table: Most outcomes rated moderate certainty; MDS-UPDRS Part III week 12 downgraded to low certainty due to substantial heterogeneity; downgrade reasons = wide confidence intervals + high inconsistency for selected outcomes</w:t>
            </w:r>
          </w:p>
        </w:tc>
      </w:tr>
      <w:tr w14:paraId="79C247A7">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CC"/>
            <w:tcMar>
              <w:top w:w="0" w:type="dxa"/>
              <w:left w:w="0" w:type="dxa"/>
              <w:bottom w:w="0" w:type="dxa"/>
              <w:right w:w="0" w:type="dxa"/>
            </w:tcMar>
            <w:vAlign w:val="top"/>
          </w:tcPr>
          <w:p w14:paraId="4797D2AF">
            <w:pPr>
              <w:spacing w:before="100" w:after="100" w:line="240" w:lineRule="auto"/>
              <w:ind w:left="100" w:right="100" w:firstLine="0"/>
              <w:jc w:val="left"/>
            </w:pPr>
            <w:r>
              <w:rPr>
                <w:rFonts w:ascii="DejaVu Sans" w:hAnsi="DejaVu Sans" w:eastAsia="DejaVu Sans" w:cs="DejaVu Sans"/>
                <w:b/>
                <w:color w:val="000000"/>
                <w:sz w:val="18"/>
                <w:szCs w:val="18"/>
              </w:rPr>
              <w:t>DISCUSSION</w:t>
            </w:r>
          </w:p>
        </w:tc>
        <w:tc>
          <w:tcPr>
            <w:shd w:val="clear" w:color="auto" w:fill="FFFFCC"/>
            <w:tcMar>
              <w:top w:w="0" w:type="dxa"/>
              <w:left w:w="0" w:type="dxa"/>
              <w:bottom w:w="0" w:type="dxa"/>
              <w:right w:w="0" w:type="dxa"/>
            </w:tcMar>
            <w:vAlign w:val="top"/>
          </w:tcPr>
          <w:p w14:paraId="57500F63">
            <w:pPr>
              <w:spacing w:before="100" w:after="100" w:line="240" w:lineRule="auto"/>
              <w:ind w:left="100" w:right="100" w:firstLine="0"/>
              <w:jc w:val="center"/>
            </w:pPr>
          </w:p>
        </w:tc>
        <w:tc>
          <w:tcPr>
            <w:shd w:val="clear" w:color="auto" w:fill="FFFFCC"/>
            <w:tcMar>
              <w:top w:w="0" w:type="dxa"/>
              <w:left w:w="0" w:type="dxa"/>
              <w:bottom w:w="0" w:type="dxa"/>
              <w:right w:w="0" w:type="dxa"/>
            </w:tcMar>
            <w:vAlign w:val="top"/>
          </w:tcPr>
          <w:p w14:paraId="13407A99">
            <w:pPr>
              <w:spacing w:before="100" w:after="100" w:line="240" w:lineRule="auto"/>
              <w:ind w:left="100" w:right="100" w:firstLine="0"/>
              <w:jc w:val="left"/>
            </w:pPr>
          </w:p>
        </w:tc>
        <w:tc>
          <w:tcPr>
            <w:tcBorders>
              <w:right w:val="single" w:color="000000" w:sz="8" w:space="0"/>
            </w:tcBorders>
            <w:shd w:val="clear" w:color="auto" w:fill="FFFFCC"/>
            <w:tcMar>
              <w:top w:w="0" w:type="dxa"/>
              <w:left w:w="0" w:type="dxa"/>
              <w:bottom w:w="0" w:type="dxa"/>
              <w:right w:w="0" w:type="dxa"/>
            </w:tcMar>
            <w:vAlign w:val="top"/>
          </w:tcPr>
          <w:p w14:paraId="6CC38E93">
            <w:pPr>
              <w:spacing w:before="100" w:after="100" w:line="240" w:lineRule="auto"/>
              <w:ind w:left="100" w:right="100" w:firstLine="0"/>
              <w:jc w:val="center"/>
            </w:pPr>
          </w:p>
        </w:tc>
      </w:tr>
      <w:tr w14:paraId="4A6252E8">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1C6553AC">
            <w:pPr>
              <w:spacing w:before="100" w:after="100" w:line="240" w:lineRule="auto"/>
              <w:ind w:left="100" w:right="100" w:firstLine="0"/>
              <w:jc w:val="left"/>
            </w:pPr>
            <w:r>
              <w:rPr>
                <w:rFonts w:ascii="DejaVu Sans" w:hAnsi="DejaVu Sans" w:eastAsia="DejaVu Sans" w:cs="DejaVu Sans"/>
                <w:b/>
                <w:color w:val="000000"/>
                <w:sz w:val="18"/>
                <w:szCs w:val="18"/>
              </w:rPr>
              <w:t>Discussion</w:t>
            </w:r>
          </w:p>
        </w:tc>
        <w:tc>
          <w:tcPr>
            <w:shd w:val="clear" w:color="auto" w:fill="FFFFFF"/>
            <w:tcMar>
              <w:top w:w="0" w:type="dxa"/>
              <w:left w:w="0" w:type="dxa"/>
              <w:bottom w:w="0" w:type="dxa"/>
              <w:right w:w="0" w:type="dxa"/>
            </w:tcMar>
            <w:vAlign w:val="top"/>
          </w:tcPr>
          <w:p w14:paraId="40E4CEE4">
            <w:pPr>
              <w:spacing w:before="100" w:after="100" w:line="240" w:lineRule="auto"/>
              <w:ind w:left="100" w:right="100" w:firstLine="0"/>
              <w:jc w:val="center"/>
            </w:pPr>
            <w:r>
              <w:rPr>
                <w:rFonts w:ascii="DejaVu Sans" w:hAnsi="DejaVu Sans" w:eastAsia="DejaVu Sans" w:cs="DejaVu Sans"/>
                <w:color w:val="000000"/>
                <w:sz w:val="18"/>
                <w:szCs w:val="18"/>
              </w:rPr>
              <w:t>23a</w:t>
            </w:r>
          </w:p>
        </w:tc>
        <w:tc>
          <w:tcPr>
            <w:shd w:val="clear" w:color="auto" w:fill="FFFFFF"/>
            <w:tcMar>
              <w:top w:w="0" w:type="dxa"/>
              <w:left w:w="0" w:type="dxa"/>
              <w:bottom w:w="0" w:type="dxa"/>
              <w:right w:w="0" w:type="dxa"/>
            </w:tcMar>
            <w:vAlign w:val="top"/>
          </w:tcPr>
          <w:p w14:paraId="22BF2599">
            <w:pPr>
              <w:spacing w:before="100" w:after="100" w:line="240" w:lineRule="auto"/>
              <w:ind w:left="100" w:right="100" w:firstLine="0"/>
              <w:jc w:val="left"/>
            </w:pPr>
            <w:r>
              <w:rPr>
                <w:rFonts w:ascii="DejaVu Sans" w:hAnsi="DejaVu Sans" w:eastAsia="DejaVu Sans" w:cs="DejaVu Sans"/>
                <w:color w:val="000000"/>
                <w:sz w:val="18"/>
                <w:szCs w:val="18"/>
              </w:rPr>
              <w:t>Provide a general interpretation of the results in the context of other evidence.</w:t>
            </w:r>
          </w:p>
        </w:tc>
        <w:tc>
          <w:tcPr>
            <w:tcBorders>
              <w:right w:val="single" w:color="000000" w:sz="8" w:space="0"/>
            </w:tcBorders>
            <w:shd w:val="clear" w:color="auto" w:fill="FFFFFF"/>
            <w:tcMar>
              <w:top w:w="0" w:type="dxa"/>
              <w:left w:w="0" w:type="dxa"/>
              <w:bottom w:w="0" w:type="dxa"/>
              <w:right w:w="0" w:type="dxa"/>
            </w:tcMar>
            <w:vAlign w:val="top"/>
          </w:tcPr>
          <w:p w14:paraId="34C23D6E">
            <w:pPr>
              <w:spacing w:before="100" w:after="100" w:line="240" w:lineRule="auto"/>
              <w:ind w:left="100" w:right="100" w:firstLine="0"/>
              <w:jc w:val="center"/>
            </w:pPr>
            <w:r>
              <w:rPr>
                <w:rFonts w:hint="eastAsia" w:ascii="DejaVu Sans" w:hAnsi="DejaVu Sans" w:eastAsia="DejaVu Sans" w:cs="DejaVu Sans"/>
                <w:color w:val="000000"/>
                <w:sz w:val="18"/>
                <w:szCs w:val="18"/>
              </w:rPr>
              <w:t>Section 4.1–4.4: Compare pooled null RCT findings with positive preclinical animal FMT data and small observational clinical series; interpret results via gut-brain axis, short-chain fatty acid and microbiota engraftment mechanisms</w:t>
            </w:r>
          </w:p>
        </w:tc>
      </w:tr>
      <w:tr w14:paraId="37825EE7">
        <w:tblPrEx>
          <w:tblCellMar>
            <w:top w:w="0" w:type="dxa"/>
            <w:left w:w="108" w:type="dxa"/>
            <w:bottom w:w="0" w:type="dxa"/>
            <w:right w:w="108" w:type="dxa"/>
          </w:tblCellMar>
        </w:tblPrEx>
        <w:trPr>
          <w:cantSplit/>
          <w:trHeight w:val="0" w:hRule="atLeast"/>
          <w:jc w:val="center"/>
        </w:trPr>
        <w:tc>
          <w:tcPr>
            <w:vMerge w:val="restart"/>
            <w:tcBorders>
              <w:left w:val="single" w:color="000000" w:sz="8" w:space="0"/>
            </w:tcBorders>
            <w:shd w:val="clear" w:color="auto" w:fill="FFFFFF"/>
            <w:tcMar>
              <w:top w:w="0" w:type="dxa"/>
              <w:left w:w="0" w:type="dxa"/>
              <w:bottom w:w="0" w:type="dxa"/>
              <w:right w:w="0" w:type="dxa"/>
            </w:tcMar>
            <w:vAlign w:val="top"/>
          </w:tcPr>
          <w:p w14:paraId="71324A7D">
            <w:pPr>
              <w:spacing w:before="100" w:after="100" w:line="240" w:lineRule="auto"/>
              <w:ind w:left="100" w:right="100" w:firstLine="0"/>
              <w:jc w:val="left"/>
            </w:pPr>
          </w:p>
        </w:tc>
        <w:tc>
          <w:tcPr>
            <w:shd w:val="clear" w:color="auto" w:fill="FFFFFF"/>
            <w:tcMar>
              <w:top w:w="0" w:type="dxa"/>
              <w:left w:w="0" w:type="dxa"/>
              <w:bottom w:w="0" w:type="dxa"/>
              <w:right w:w="0" w:type="dxa"/>
            </w:tcMar>
            <w:vAlign w:val="top"/>
          </w:tcPr>
          <w:p w14:paraId="0E086E2F">
            <w:pPr>
              <w:spacing w:before="100" w:after="100" w:line="240" w:lineRule="auto"/>
              <w:ind w:left="100" w:right="100" w:firstLine="0"/>
              <w:jc w:val="center"/>
            </w:pPr>
            <w:r>
              <w:rPr>
                <w:rFonts w:ascii="DejaVu Sans" w:hAnsi="DejaVu Sans" w:eastAsia="DejaVu Sans" w:cs="DejaVu Sans"/>
                <w:color w:val="000000"/>
                <w:sz w:val="18"/>
                <w:szCs w:val="18"/>
              </w:rPr>
              <w:t>23b</w:t>
            </w:r>
          </w:p>
        </w:tc>
        <w:tc>
          <w:tcPr>
            <w:shd w:val="clear" w:color="auto" w:fill="FFFFFF"/>
            <w:tcMar>
              <w:top w:w="0" w:type="dxa"/>
              <w:left w:w="0" w:type="dxa"/>
              <w:bottom w:w="0" w:type="dxa"/>
              <w:right w:w="0" w:type="dxa"/>
            </w:tcMar>
            <w:vAlign w:val="top"/>
          </w:tcPr>
          <w:p w14:paraId="7FEAF1F0">
            <w:pPr>
              <w:spacing w:before="100" w:after="100" w:line="240" w:lineRule="auto"/>
              <w:ind w:left="100" w:right="100" w:firstLine="0"/>
              <w:jc w:val="left"/>
            </w:pPr>
            <w:r>
              <w:rPr>
                <w:rFonts w:ascii="DejaVu Sans" w:hAnsi="DejaVu Sans" w:eastAsia="DejaVu Sans" w:cs="DejaVu Sans"/>
                <w:color w:val="000000"/>
                <w:sz w:val="18"/>
                <w:szCs w:val="18"/>
              </w:rPr>
              <w:t>Discuss any limitations of the evidence included in the review.</w:t>
            </w:r>
          </w:p>
        </w:tc>
        <w:tc>
          <w:tcPr>
            <w:tcBorders>
              <w:right w:val="single" w:color="000000" w:sz="8" w:space="0"/>
            </w:tcBorders>
            <w:shd w:val="clear" w:color="auto" w:fill="FFFFFF"/>
            <w:tcMar>
              <w:top w:w="0" w:type="dxa"/>
              <w:left w:w="0" w:type="dxa"/>
              <w:bottom w:w="0" w:type="dxa"/>
              <w:right w:w="0" w:type="dxa"/>
            </w:tcMar>
            <w:vAlign w:val="top"/>
          </w:tcPr>
          <w:p w14:paraId="0166093C">
            <w:pPr>
              <w:spacing w:before="100" w:after="100" w:line="240" w:lineRule="auto"/>
              <w:ind w:left="100" w:right="100" w:firstLine="0"/>
              <w:jc w:val="center"/>
            </w:pPr>
            <w:r>
              <w:rPr>
                <w:rFonts w:hint="eastAsia" w:ascii="DejaVu Sans" w:hAnsi="DejaVu Sans" w:eastAsia="DejaVu Sans" w:cs="DejaVu Sans"/>
                <w:color w:val="000000"/>
                <w:sz w:val="18"/>
                <w:szCs w:val="18"/>
              </w:rPr>
              <w:t>Section 5 Limitations: Small number of included trials and limited total sample size; high clinical heterogeneity across FMT protocols (fresh/frozen stool, delivery routes, dosing frequency); short follow-up duration; statistical bias introduced by median-to-mean conversion; unclear/high blinding risk in several trials</w:t>
            </w:r>
          </w:p>
        </w:tc>
      </w:tr>
      <w:tr w14:paraId="4CE7DCFA">
        <w:tblPrEx>
          <w:tblCellMar>
            <w:top w:w="0" w:type="dxa"/>
            <w:left w:w="108" w:type="dxa"/>
            <w:bottom w:w="0" w:type="dxa"/>
            <w:right w:w="108" w:type="dxa"/>
          </w:tblCellMar>
        </w:tblPrEx>
        <w:trPr>
          <w:cantSplit/>
          <w:trHeight w:val="0" w:hRule="atLeast"/>
          <w:jc w:val="center"/>
        </w:trPr>
        <w:tc>
          <w:tcPr>
            <w:vMerge w:val="continue"/>
            <w:tcBorders>
              <w:left w:val="single" w:color="000000" w:sz="8" w:space="0"/>
            </w:tcBorders>
            <w:shd w:val="clear" w:color="auto" w:fill="FFFFFF"/>
            <w:tcMar>
              <w:top w:w="0" w:type="dxa"/>
              <w:left w:w="0" w:type="dxa"/>
              <w:bottom w:w="0" w:type="dxa"/>
              <w:right w:w="0" w:type="dxa"/>
            </w:tcMar>
            <w:vAlign w:val="top"/>
          </w:tcPr>
          <w:p w14:paraId="50DA6714">
            <w:pPr>
              <w:spacing w:before="100" w:after="100" w:line="240" w:lineRule="auto"/>
              <w:ind w:left="100" w:right="100" w:firstLine="0"/>
              <w:jc w:val="left"/>
            </w:pPr>
          </w:p>
        </w:tc>
        <w:tc>
          <w:tcPr>
            <w:shd w:val="clear" w:color="auto" w:fill="FFFFFF"/>
            <w:tcMar>
              <w:top w:w="0" w:type="dxa"/>
              <w:left w:w="0" w:type="dxa"/>
              <w:bottom w:w="0" w:type="dxa"/>
              <w:right w:w="0" w:type="dxa"/>
            </w:tcMar>
            <w:vAlign w:val="top"/>
          </w:tcPr>
          <w:p w14:paraId="34BFD052">
            <w:pPr>
              <w:spacing w:before="100" w:after="100" w:line="240" w:lineRule="auto"/>
              <w:ind w:left="100" w:right="100" w:firstLine="0"/>
              <w:jc w:val="center"/>
            </w:pPr>
            <w:r>
              <w:rPr>
                <w:rFonts w:ascii="DejaVu Sans" w:hAnsi="DejaVu Sans" w:eastAsia="DejaVu Sans" w:cs="DejaVu Sans"/>
                <w:color w:val="000000"/>
                <w:sz w:val="18"/>
                <w:szCs w:val="18"/>
              </w:rPr>
              <w:t>23c</w:t>
            </w:r>
          </w:p>
        </w:tc>
        <w:tc>
          <w:tcPr>
            <w:shd w:val="clear" w:color="auto" w:fill="FFFFFF"/>
            <w:tcMar>
              <w:top w:w="0" w:type="dxa"/>
              <w:left w:w="0" w:type="dxa"/>
              <w:bottom w:w="0" w:type="dxa"/>
              <w:right w:w="0" w:type="dxa"/>
            </w:tcMar>
            <w:vAlign w:val="top"/>
          </w:tcPr>
          <w:p w14:paraId="2D3AFDBC">
            <w:pPr>
              <w:spacing w:before="100" w:after="100" w:line="240" w:lineRule="auto"/>
              <w:ind w:left="100" w:right="100" w:firstLine="0"/>
              <w:jc w:val="left"/>
            </w:pPr>
            <w:r>
              <w:rPr>
                <w:rFonts w:ascii="DejaVu Sans" w:hAnsi="DejaVu Sans" w:eastAsia="DejaVu Sans" w:cs="DejaVu Sans"/>
                <w:color w:val="000000"/>
                <w:sz w:val="18"/>
                <w:szCs w:val="18"/>
              </w:rPr>
              <w:t>Discuss any limitations of the review processes used.</w:t>
            </w:r>
          </w:p>
        </w:tc>
        <w:tc>
          <w:tcPr>
            <w:tcBorders>
              <w:right w:val="single" w:color="000000" w:sz="8" w:space="0"/>
            </w:tcBorders>
            <w:shd w:val="clear" w:color="auto" w:fill="FFFFFF"/>
            <w:tcMar>
              <w:top w:w="0" w:type="dxa"/>
              <w:left w:w="0" w:type="dxa"/>
              <w:bottom w:w="0" w:type="dxa"/>
              <w:right w:w="0" w:type="dxa"/>
            </w:tcMar>
            <w:vAlign w:val="top"/>
          </w:tcPr>
          <w:p w14:paraId="6B3D0CB3">
            <w:pPr>
              <w:spacing w:before="100" w:after="100" w:line="240" w:lineRule="auto"/>
              <w:ind w:left="100" w:right="100" w:firstLine="0"/>
              <w:jc w:val="center"/>
            </w:pPr>
            <w:r>
              <w:rPr>
                <w:rFonts w:hint="eastAsia" w:ascii="DejaVu Sans" w:hAnsi="DejaVu Sans" w:eastAsia="DejaVu Sans" w:cs="DejaVu Sans"/>
                <w:color w:val="000000"/>
                <w:sz w:val="18"/>
                <w:szCs w:val="18"/>
              </w:rPr>
              <w:t>Section 5: ClinicalTrials.gov not searched; fewer than 10 studies per meta-analysis preventing formal publication bias assessment; only peer-reviewed published articles included, potential language bias</w:t>
            </w:r>
            <w:r>
              <w:rPr>
                <w:rFonts w:ascii="DejaVu Sans" w:hAnsi="DejaVu Sans" w:eastAsia="DejaVu Sans" w:cs="DejaVu Sans"/>
                <w:color w:val="000000"/>
                <w:sz w:val="18"/>
                <w:szCs w:val="18"/>
              </w:rPr>
              <w:t>)</w:t>
            </w:r>
          </w:p>
        </w:tc>
      </w:tr>
      <w:tr w14:paraId="6705184B">
        <w:tblPrEx>
          <w:tblCellMar>
            <w:top w:w="0" w:type="dxa"/>
            <w:left w:w="108" w:type="dxa"/>
            <w:bottom w:w="0" w:type="dxa"/>
            <w:right w:w="108" w:type="dxa"/>
          </w:tblCellMar>
        </w:tblPrEx>
        <w:trPr>
          <w:cantSplit/>
          <w:trHeight w:val="0" w:hRule="atLeast"/>
          <w:jc w:val="center"/>
        </w:trPr>
        <w:tc>
          <w:tcPr>
            <w:vMerge w:val="continue"/>
            <w:tcBorders>
              <w:left w:val="single" w:color="000000" w:sz="8" w:space="0"/>
            </w:tcBorders>
            <w:shd w:val="clear" w:color="auto" w:fill="FFFFFF"/>
            <w:tcMar>
              <w:top w:w="0" w:type="dxa"/>
              <w:left w:w="0" w:type="dxa"/>
              <w:bottom w:w="0" w:type="dxa"/>
              <w:right w:w="0" w:type="dxa"/>
            </w:tcMar>
            <w:vAlign w:val="top"/>
          </w:tcPr>
          <w:p w14:paraId="0913F7FA">
            <w:pPr>
              <w:spacing w:before="100" w:after="100" w:line="240" w:lineRule="auto"/>
              <w:ind w:left="100" w:right="100" w:firstLine="0"/>
              <w:jc w:val="left"/>
            </w:pPr>
          </w:p>
        </w:tc>
        <w:tc>
          <w:tcPr>
            <w:shd w:val="clear" w:color="auto" w:fill="FFFFFF"/>
            <w:tcMar>
              <w:top w:w="0" w:type="dxa"/>
              <w:left w:w="0" w:type="dxa"/>
              <w:bottom w:w="0" w:type="dxa"/>
              <w:right w:w="0" w:type="dxa"/>
            </w:tcMar>
            <w:vAlign w:val="top"/>
          </w:tcPr>
          <w:p w14:paraId="0AADE3C0">
            <w:pPr>
              <w:spacing w:before="100" w:after="100" w:line="240" w:lineRule="auto"/>
              <w:ind w:left="100" w:right="100" w:firstLine="0"/>
              <w:jc w:val="center"/>
            </w:pPr>
            <w:r>
              <w:rPr>
                <w:rFonts w:ascii="DejaVu Sans" w:hAnsi="DejaVu Sans" w:eastAsia="DejaVu Sans" w:cs="DejaVu Sans"/>
                <w:color w:val="000000"/>
                <w:sz w:val="18"/>
                <w:szCs w:val="18"/>
              </w:rPr>
              <w:t>23d</w:t>
            </w:r>
          </w:p>
        </w:tc>
        <w:tc>
          <w:tcPr>
            <w:shd w:val="clear" w:color="auto" w:fill="FFFFFF"/>
            <w:tcMar>
              <w:top w:w="0" w:type="dxa"/>
              <w:left w:w="0" w:type="dxa"/>
              <w:bottom w:w="0" w:type="dxa"/>
              <w:right w:w="0" w:type="dxa"/>
            </w:tcMar>
            <w:vAlign w:val="top"/>
          </w:tcPr>
          <w:p w14:paraId="4B85B788">
            <w:pPr>
              <w:spacing w:before="100" w:after="100" w:line="240" w:lineRule="auto"/>
              <w:ind w:left="100" w:right="100" w:firstLine="0"/>
              <w:jc w:val="left"/>
            </w:pPr>
            <w:r>
              <w:rPr>
                <w:rFonts w:ascii="DejaVu Sans" w:hAnsi="DejaVu Sans" w:eastAsia="DejaVu Sans" w:cs="DejaVu Sans"/>
                <w:color w:val="000000"/>
                <w:sz w:val="18"/>
                <w:szCs w:val="18"/>
              </w:rPr>
              <w:t>Discuss implications of the results for practice, policy, and future research.</w:t>
            </w:r>
          </w:p>
        </w:tc>
        <w:tc>
          <w:tcPr>
            <w:tcBorders>
              <w:right w:val="single" w:color="000000" w:sz="8" w:space="0"/>
            </w:tcBorders>
            <w:shd w:val="clear" w:color="auto" w:fill="FFFFFF"/>
            <w:tcMar>
              <w:top w:w="0" w:type="dxa"/>
              <w:left w:w="0" w:type="dxa"/>
              <w:bottom w:w="0" w:type="dxa"/>
              <w:right w:w="0" w:type="dxa"/>
            </w:tcMar>
            <w:vAlign w:val="top"/>
          </w:tcPr>
          <w:p w14:paraId="4A9218B1">
            <w:pPr>
              <w:spacing w:before="100" w:after="100" w:line="240" w:lineRule="auto"/>
              <w:ind w:left="100" w:right="100" w:firstLine="0"/>
              <w:jc w:val="center"/>
            </w:pPr>
            <w:r>
              <w:rPr>
                <w:rFonts w:hint="eastAsia" w:ascii="DejaVu Sans" w:hAnsi="DejaVu Sans" w:eastAsia="DejaVu Sans" w:cs="DejaVu Sans"/>
                <w:color w:val="000000"/>
                <w:sz w:val="18"/>
                <w:szCs w:val="18"/>
              </w:rPr>
              <w:t>Section 6 Conclusions: Current RCT evidence does not support statistically significant improvements in motor or cognitive function via FMT; borderline beneficial trend for activities of daily living at week 12 warrants further validation; large-scale multi-center RCTs with standardized FMT protocols and prolonged follow-up are required; multi-omics metabolomics assays recommended to explore underlying biological mechanisms</w:t>
            </w:r>
          </w:p>
        </w:tc>
      </w:tr>
      <w:tr w14:paraId="71A5F670">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CC"/>
            <w:tcMar>
              <w:top w:w="0" w:type="dxa"/>
              <w:left w:w="0" w:type="dxa"/>
              <w:bottom w:w="0" w:type="dxa"/>
              <w:right w:w="0" w:type="dxa"/>
            </w:tcMar>
            <w:vAlign w:val="top"/>
          </w:tcPr>
          <w:p w14:paraId="5DFE97DC">
            <w:pPr>
              <w:spacing w:before="100" w:after="100" w:line="240" w:lineRule="auto"/>
              <w:ind w:left="100" w:right="100" w:firstLine="0"/>
              <w:jc w:val="left"/>
            </w:pPr>
            <w:r>
              <w:rPr>
                <w:rFonts w:ascii="DejaVu Sans" w:hAnsi="DejaVu Sans" w:eastAsia="DejaVu Sans" w:cs="DejaVu Sans"/>
                <w:b/>
                <w:color w:val="000000"/>
                <w:sz w:val="18"/>
                <w:szCs w:val="18"/>
              </w:rPr>
              <w:t>OTHER INFORMATION</w:t>
            </w:r>
          </w:p>
        </w:tc>
        <w:tc>
          <w:tcPr>
            <w:shd w:val="clear" w:color="auto" w:fill="FFFFCC"/>
            <w:tcMar>
              <w:top w:w="0" w:type="dxa"/>
              <w:left w:w="0" w:type="dxa"/>
              <w:bottom w:w="0" w:type="dxa"/>
              <w:right w:w="0" w:type="dxa"/>
            </w:tcMar>
            <w:vAlign w:val="top"/>
          </w:tcPr>
          <w:p w14:paraId="489E9FDB">
            <w:pPr>
              <w:spacing w:before="100" w:after="100" w:line="240" w:lineRule="auto"/>
              <w:ind w:left="100" w:right="100" w:firstLine="0"/>
              <w:jc w:val="center"/>
            </w:pPr>
          </w:p>
        </w:tc>
        <w:tc>
          <w:tcPr>
            <w:shd w:val="clear" w:color="auto" w:fill="FFFFCC"/>
            <w:tcMar>
              <w:top w:w="0" w:type="dxa"/>
              <w:left w:w="0" w:type="dxa"/>
              <w:bottom w:w="0" w:type="dxa"/>
              <w:right w:w="0" w:type="dxa"/>
            </w:tcMar>
            <w:vAlign w:val="top"/>
          </w:tcPr>
          <w:p w14:paraId="239388E8">
            <w:pPr>
              <w:spacing w:before="100" w:after="100" w:line="240" w:lineRule="auto"/>
              <w:ind w:left="100" w:right="100" w:firstLine="0"/>
              <w:jc w:val="left"/>
            </w:pPr>
          </w:p>
        </w:tc>
        <w:tc>
          <w:tcPr>
            <w:tcBorders>
              <w:right w:val="single" w:color="000000" w:sz="8" w:space="0"/>
            </w:tcBorders>
            <w:shd w:val="clear" w:color="auto" w:fill="FFFFCC"/>
            <w:tcMar>
              <w:top w:w="0" w:type="dxa"/>
              <w:left w:w="0" w:type="dxa"/>
              <w:bottom w:w="0" w:type="dxa"/>
              <w:right w:w="0" w:type="dxa"/>
            </w:tcMar>
            <w:vAlign w:val="top"/>
          </w:tcPr>
          <w:p w14:paraId="11890A6E">
            <w:pPr>
              <w:spacing w:before="100" w:after="100" w:line="240" w:lineRule="auto"/>
              <w:ind w:left="100" w:right="100" w:firstLine="0"/>
              <w:jc w:val="center"/>
            </w:pPr>
          </w:p>
        </w:tc>
      </w:tr>
      <w:tr w14:paraId="495C7E85">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1B471D45">
            <w:pPr>
              <w:spacing w:before="100" w:after="100" w:line="240" w:lineRule="auto"/>
              <w:ind w:left="100" w:right="100" w:firstLine="0"/>
              <w:jc w:val="left"/>
            </w:pPr>
            <w:r>
              <w:rPr>
                <w:rFonts w:ascii="DejaVu Sans" w:hAnsi="DejaVu Sans" w:eastAsia="DejaVu Sans" w:cs="DejaVu Sans"/>
                <w:b/>
                <w:color w:val="000000"/>
                <w:sz w:val="18"/>
                <w:szCs w:val="18"/>
              </w:rPr>
              <w:t>Registration and protocol</w:t>
            </w:r>
          </w:p>
        </w:tc>
        <w:tc>
          <w:tcPr>
            <w:shd w:val="clear" w:color="auto" w:fill="FFFFFF"/>
            <w:tcMar>
              <w:top w:w="0" w:type="dxa"/>
              <w:left w:w="0" w:type="dxa"/>
              <w:bottom w:w="0" w:type="dxa"/>
              <w:right w:w="0" w:type="dxa"/>
            </w:tcMar>
            <w:vAlign w:val="top"/>
          </w:tcPr>
          <w:p w14:paraId="79FA338A">
            <w:pPr>
              <w:spacing w:before="100" w:after="100" w:line="240" w:lineRule="auto"/>
              <w:ind w:left="100" w:right="100" w:firstLine="0"/>
              <w:jc w:val="center"/>
            </w:pPr>
            <w:r>
              <w:rPr>
                <w:rFonts w:ascii="DejaVu Sans" w:hAnsi="DejaVu Sans" w:eastAsia="DejaVu Sans" w:cs="DejaVu Sans"/>
                <w:color w:val="000000"/>
                <w:sz w:val="18"/>
                <w:szCs w:val="18"/>
              </w:rPr>
              <w:t>24a</w:t>
            </w:r>
          </w:p>
        </w:tc>
        <w:tc>
          <w:tcPr>
            <w:shd w:val="clear" w:color="auto" w:fill="FFFFFF"/>
            <w:tcMar>
              <w:top w:w="0" w:type="dxa"/>
              <w:left w:w="0" w:type="dxa"/>
              <w:bottom w:w="0" w:type="dxa"/>
              <w:right w:w="0" w:type="dxa"/>
            </w:tcMar>
            <w:vAlign w:val="top"/>
          </w:tcPr>
          <w:p w14:paraId="604AFC41">
            <w:pPr>
              <w:spacing w:before="100" w:after="100" w:line="240" w:lineRule="auto"/>
              <w:ind w:left="100" w:right="100" w:firstLine="0"/>
              <w:jc w:val="left"/>
            </w:pPr>
            <w:r>
              <w:rPr>
                <w:rFonts w:ascii="DejaVu Sans" w:hAnsi="DejaVu Sans" w:eastAsia="DejaVu Sans" w:cs="DejaVu Sans"/>
                <w:color w:val="000000"/>
                <w:sz w:val="18"/>
                <w:szCs w:val="18"/>
              </w:rPr>
              <w:t xml:space="preserve">Provide registration information for the review, including register name and registration number, or state that the review was not registered. </w:t>
            </w:r>
          </w:p>
        </w:tc>
        <w:tc>
          <w:tcPr>
            <w:tcBorders>
              <w:right w:val="single" w:color="000000" w:sz="8" w:space="0"/>
            </w:tcBorders>
            <w:shd w:val="clear" w:color="auto" w:fill="FFFFFF"/>
            <w:tcMar>
              <w:top w:w="0" w:type="dxa"/>
              <w:left w:w="0" w:type="dxa"/>
              <w:bottom w:w="0" w:type="dxa"/>
              <w:right w:w="0" w:type="dxa"/>
            </w:tcMar>
            <w:vAlign w:val="top"/>
          </w:tcPr>
          <w:p w14:paraId="1558ACB6">
            <w:pPr>
              <w:spacing w:before="100" w:after="100" w:line="240" w:lineRule="auto"/>
              <w:ind w:left="100" w:right="100" w:firstLine="0"/>
              <w:jc w:val="center"/>
            </w:pPr>
            <w:r>
              <w:rPr>
                <w:rFonts w:hint="eastAsia" w:ascii="DejaVu Sans" w:hAnsi="DejaVu Sans" w:eastAsia="DejaVu Sans" w:cs="DejaVu Sans"/>
                <w:color w:val="000000"/>
                <w:sz w:val="18"/>
                <w:szCs w:val="18"/>
              </w:rPr>
              <w:t>Abstract, main text and end declarations: This systematic review was prospectively registered on PROSPERO, registration number CRD420251121443, registration URL: https://www.crd.york.ac.uk/PROSPERO/view/CRD420251121443</w:t>
            </w:r>
          </w:p>
        </w:tc>
      </w:tr>
      <w:tr w14:paraId="5CEEBE62">
        <w:tblPrEx>
          <w:tblCellMar>
            <w:top w:w="0" w:type="dxa"/>
            <w:left w:w="108" w:type="dxa"/>
            <w:bottom w:w="0" w:type="dxa"/>
            <w:right w:w="108" w:type="dxa"/>
          </w:tblCellMar>
        </w:tblPrEx>
        <w:trPr>
          <w:cantSplit/>
          <w:trHeight w:val="0" w:hRule="atLeast"/>
          <w:jc w:val="center"/>
        </w:trPr>
        <w:tc>
          <w:tcPr>
            <w:vMerge w:val="restart"/>
            <w:tcBorders>
              <w:left w:val="single" w:color="000000" w:sz="8" w:space="0"/>
            </w:tcBorders>
            <w:shd w:val="clear" w:color="auto" w:fill="FFFFFF"/>
            <w:tcMar>
              <w:top w:w="0" w:type="dxa"/>
              <w:left w:w="0" w:type="dxa"/>
              <w:bottom w:w="0" w:type="dxa"/>
              <w:right w:w="0" w:type="dxa"/>
            </w:tcMar>
            <w:vAlign w:val="top"/>
          </w:tcPr>
          <w:p w14:paraId="4BC6AD86">
            <w:pPr>
              <w:spacing w:before="100" w:after="100" w:line="240" w:lineRule="auto"/>
              <w:ind w:left="100" w:right="100" w:firstLine="0"/>
              <w:jc w:val="left"/>
            </w:pPr>
          </w:p>
        </w:tc>
        <w:tc>
          <w:tcPr>
            <w:shd w:val="clear" w:color="auto" w:fill="FFFFFF"/>
            <w:tcMar>
              <w:top w:w="0" w:type="dxa"/>
              <w:left w:w="0" w:type="dxa"/>
              <w:bottom w:w="0" w:type="dxa"/>
              <w:right w:w="0" w:type="dxa"/>
            </w:tcMar>
            <w:vAlign w:val="top"/>
          </w:tcPr>
          <w:p w14:paraId="7C7CBFDE">
            <w:pPr>
              <w:spacing w:before="100" w:after="100" w:line="240" w:lineRule="auto"/>
              <w:ind w:left="100" w:right="100" w:firstLine="0"/>
              <w:jc w:val="center"/>
            </w:pPr>
            <w:r>
              <w:rPr>
                <w:rFonts w:ascii="DejaVu Sans" w:hAnsi="DejaVu Sans" w:eastAsia="DejaVu Sans" w:cs="DejaVu Sans"/>
                <w:color w:val="000000"/>
                <w:sz w:val="18"/>
                <w:szCs w:val="18"/>
              </w:rPr>
              <w:t>24b</w:t>
            </w:r>
          </w:p>
        </w:tc>
        <w:tc>
          <w:tcPr>
            <w:shd w:val="clear" w:color="auto" w:fill="FFFFFF"/>
            <w:tcMar>
              <w:top w:w="0" w:type="dxa"/>
              <w:left w:w="0" w:type="dxa"/>
              <w:bottom w:w="0" w:type="dxa"/>
              <w:right w:w="0" w:type="dxa"/>
            </w:tcMar>
            <w:vAlign w:val="top"/>
          </w:tcPr>
          <w:p w14:paraId="136CCB45">
            <w:pPr>
              <w:spacing w:before="100" w:after="100" w:line="240" w:lineRule="auto"/>
              <w:ind w:left="100" w:right="100" w:firstLine="0"/>
              <w:jc w:val="left"/>
            </w:pPr>
            <w:r>
              <w:rPr>
                <w:rFonts w:ascii="DejaVu Sans" w:hAnsi="DejaVu Sans" w:eastAsia="DejaVu Sans" w:cs="DejaVu Sans"/>
                <w:color w:val="000000"/>
                <w:sz w:val="18"/>
                <w:szCs w:val="18"/>
              </w:rPr>
              <w:t>Indicate where the review protocol can be accessed, or state that a protocol was not prepared.</w:t>
            </w:r>
          </w:p>
        </w:tc>
        <w:tc>
          <w:tcPr>
            <w:tcBorders>
              <w:right w:val="single" w:color="000000" w:sz="8" w:space="0"/>
            </w:tcBorders>
            <w:shd w:val="clear" w:color="auto" w:fill="FFFFFF"/>
            <w:tcMar>
              <w:top w:w="0" w:type="dxa"/>
              <w:left w:w="0" w:type="dxa"/>
              <w:bottom w:w="0" w:type="dxa"/>
              <w:right w:w="0" w:type="dxa"/>
            </w:tcMar>
            <w:vAlign w:val="top"/>
          </w:tcPr>
          <w:p w14:paraId="3CDCA5B5">
            <w:pPr>
              <w:spacing w:before="100" w:after="100" w:line="240" w:lineRule="auto"/>
              <w:ind w:left="100" w:right="100" w:firstLine="0"/>
              <w:jc w:val="center"/>
            </w:pPr>
            <w:r>
              <w:rPr>
                <w:rFonts w:hint="eastAsia" w:ascii="DejaVu Sans" w:hAnsi="DejaVu Sans" w:eastAsia="DejaVu Sans" w:cs="DejaVu Sans"/>
                <w:color w:val="000000"/>
                <w:sz w:val="18"/>
                <w:szCs w:val="18"/>
              </w:rPr>
              <w:t>Full review protocol accessible via the PROSPERO registry using the above registration ID</w:t>
            </w:r>
          </w:p>
        </w:tc>
      </w:tr>
      <w:tr w14:paraId="2E52D307">
        <w:tblPrEx>
          <w:tblCellMar>
            <w:top w:w="0" w:type="dxa"/>
            <w:left w:w="108" w:type="dxa"/>
            <w:bottom w:w="0" w:type="dxa"/>
            <w:right w:w="108" w:type="dxa"/>
          </w:tblCellMar>
        </w:tblPrEx>
        <w:trPr>
          <w:cantSplit/>
          <w:trHeight w:val="0" w:hRule="atLeast"/>
          <w:jc w:val="center"/>
        </w:trPr>
        <w:tc>
          <w:tcPr>
            <w:vMerge w:val="continue"/>
            <w:tcBorders>
              <w:left w:val="single" w:color="000000" w:sz="8" w:space="0"/>
            </w:tcBorders>
            <w:shd w:val="clear" w:color="auto" w:fill="FFFFFF"/>
            <w:tcMar>
              <w:top w:w="0" w:type="dxa"/>
              <w:left w:w="0" w:type="dxa"/>
              <w:bottom w:w="0" w:type="dxa"/>
              <w:right w:w="0" w:type="dxa"/>
            </w:tcMar>
            <w:vAlign w:val="top"/>
          </w:tcPr>
          <w:p w14:paraId="32347626">
            <w:pPr>
              <w:spacing w:before="100" w:after="100" w:line="240" w:lineRule="auto"/>
              <w:ind w:left="100" w:right="100" w:firstLine="0"/>
              <w:jc w:val="left"/>
            </w:pPr>
          </w:p>
        </w:tc>
        <w:tc>
          <w:tcPr>
            <w:shd w:val="clear" w:color="auto" w:fill="FFFFFF"/>
            <w:tcMar>
              <w:top w:w="0" w:type="dxa"/>
              <w:left w:w="0" w:type="dxa"/>
              <w:bottom w:w="0" w:type="dxa"/>
              <w:right w:w="0" w:type="dxa"/>
            </w:tcMar>
            <w:vAlign w:val="top"/>
          </w:tcPr>
          <w:p w14:paraId="38A84FEF">
            <w:pPr>
              <w:spacing w:before="100" w:after="100" w:line="240" w:lineRule="auto"/>
              <w:ind w:left="100" w:right="100" w:firstLine="0"/>
              <w:jc w:val="center"/>
            </w:pPr>
            <w:r>
              <w:rPr>
                <w:rFonts w:ascii="DejaVu Sans" w:hAnsi="DejaVu Sans" w:eastAsia="DejaVu Sans" w:cs="DejaVu Sans"/>
                <w:color w:val="000000"/>
                <w:sz w:val="18"/>
                <w:szCs w:val="18"/>
              </w:rPr>
              <w:t>24c</w:t>
            </w:r>
          </w:p>
        </w:tc>
        <w:tc>
          <w:tcPr>
            <w:shd w:val="clear" w:color="auto" w:fill="FFFFFF"/>
            <w:tcMar>
              <w:top w:w="0" w:type="dxa"/>
              <w:left w:w="0" w:type="dxa"/>
              <w:bottom w:w="0" w:type="dxa"/>
              <w:right w:w="0" w:type="dxa"/>
            </w:tcMar>
            <w:vAlign w:val="top"/>
          </w:tcPr>
          <w:p w14:paraId="53F84F61">
            <w:pPr>
              <w:spacing w:before="100" w:after="100" w:line="240" w:lineRule="auto"/>
              <w:ind w:left="100" w:right="100" w:firstLine="0"/>
              <w:jc w:val="left"/>
            </w:pPr>
            <w:r>
              <w:rPr>
                <w:rFonts w:ascii="DejaVu Sans" w:hAnsi="DejaVu Sans" w:eastAsia="DejaVu Sans" w:cs="DejaVu Sans"/>
                <w:color w:val="000000"/>
                <w:sz w:val="18"/>
                <w:szCs w:val="18"/>
              </w:rPr>
              <w:t>Describe and explain any amendments to information provided at registration or in the protocol.</w:t>
            </w:r>
          </w:p>
        </w:tc>
        <w:tc>
          <w:tcPr>
            <w:tcBorders>
              <w:right w:val="single" w:color="000000" w:sz="8" w:space="0"/>
            </w:tcBorders>
            <w:shd w:val="clear" w:color="auto" w:fill="FFFFFF"/>
            <w:tcMar>
              <w:top w:w="0" w:type="dxa"/>
              <w:left w:w="0" w:type="dxa"/>
              <w:bottom w:w="0" w:type="dxa"/>
              <w:right w:w="0" w:type="dxa"/>
            </w:tcMar>
            <w:vAlign w:val="top"/>
          </w:tcPr>
          <w:p w14:paraId="49C22FAD">
            <w:pPr>
              <w:spacing w:before="100" w:after="100" w:line="240" w:lineRule="auto"/>
              <w:ind w:left="100" w:right="100" w:firstLine="0"/>
              <w:jc w:val="center"/>
              <w:rPr>
                <w:rFonts w:hint="eastAsia" w:ascii="DejaVu Sans" w:hAnsi="DejaVu Sans" w:eastAsia="DejaVu Sans" w:cs="DejaVu Sans"/>
                <w:color w:val="000000"/>
                <w:sz w:val="18"/>
                <w:szCs w:val="18"/>
              </w:rPr>
            </w:pPr>
            <w:r>
              <w:rPr>
                <w:rFonts w:hint="eastAsia" w:ascii="DejaVu Sans" w:hAnsi="DejaVu Sans" w:eastAsia="DejaVu Sans" w:cs="DejaVu Sans"/>
                <w:color w:val="000000"/>
                <w:sz w:val="18"/>
                <w:szCs w:val="18"/>
              </w:rPr>
              <w:t>No amendments or modifications made to the registered PROSPERO protocol throughout the review</w:t>
            </w:r>
          </w:p>
          <w:p w14:paraId="55215966">
            <w:pPr>
              <w:spacing w:before="100" w:after="100" w:line="240" w:lineRule="auto"/>
              <w:ind w:left="100" w:right="100" w:firstLine="0"/>
              <w:jc w:val="both"/>
              <w:rPr>
                <w:rFonts w:hint="eastAsia" w:ascii="DejaVu Sans" w:hAnsi="DejaVu Sans" w:eastAsia="DejaVu Sans" w:cs="DejaVu Sans"/>
                <w:color w:val="000000"/>
                <w:sz w:val="18"/>
                <w:szCs w:val="18"/>
              </w:rPr>
            </w:pPr>
          </w:p>
        </w:tc>
      </w:tr>
      <w:tr w14:paraId="1F42BD62">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678142A5">
            <w:pPr>
              <w:spacing w:before="100" w:after="100" w:line="240" w:lineRule="auto"/>
              <w:ind w:left="100" w:right="100" w:firstLine="0"/>
              <w:jc w:val="left"/>
            </w:pPr>
            <w:r>
              <w:rPr>
                <w:rFonts w:ascii="DejaVu Sans" w:hAnsi="DejaVu Sans" w:eastAsia="DejaVu Sans" w:cs="DejaVu Sans"/>
                <w:b/>
                <w:color w:val="000000"/>
                <w:sz w:val="18"/>
                <w:szCs w:val="18"/>
              </w:rPr>
              <w:t>Support</w:t>
            </w:r>
          </w:p>
        </w:tc>
        <w:tc>
          <w:tcPr>
            <w:shd w:val="clear" w:color="auto" w:fill="FFFFFF"/>
            <w:tcMar>
              <w:top w:w="0" w:type="dxa"/>
              <w:left w:w="0" w:type="dxa"/>
              <w:bottom w:w="0" w:type="dxa"/>
              <w:right w:w="0" w:type="dxa"/>
            </w:tcMar>
            <w:vAlign w:val="top"/>
          </w:tcPr>
          <w:p w14:paraId="5A4F5C42">
            <w:pPr>
              <w:spacing w:before="100" w:after="100" w:line="240" w:lineRule="auto"/>
              <w:ind w:left="100" w:right="100" w:firstLine="0"/>
              <w:jc w:val="center"/>
            </w:pPr>
            <w:r>
              <w:rPr>
                <w:rFonts w:ascii="DejaVu Sans" w:hAnsi="DejaVu Sans" w:eastAsia="DejaVu Sans" w:cs="DejaVu Sans"/>
                <w:color w:val="000000"/>
                <w:sz w:val="18"/>
                <w:szCs w:val="18"/>
              </w:rPr>
              <w:t>25</w:t>
            </w:r>
          </w:p>
        </w:tc>
        <w:tc>
          <w:tcPr>
            <w:shd w:val="clear" w:color="auto" w:fill="FFFFFF"/>
            <w:tcMar>
              <w:top w:w="0" w:type="dxa"/>
              <w:left w:w="0" w:type="dxa"/>
              <w:bottom w:w="0" w:type="dxa"/>
              <w:right w:w="0" w:type="dxa"/>
            </w:tcMar>
            <w:vAlign w:val="top"/>
          </w:tcPr>
          <w:p w14:paraId="606B3EE7">
            <w:pPr>
              <w:spacing w:before="100" w:after="100" w:line="240" w:lineRule="auto"/>
              <w:ind w:left="100" w:right="100" w:firstLine="0"/>
              <w:jc w:val="left"/>
            </w:pPr>
            <w:r>
              <w:rPr>
                <w:rFonts w:ascii="DejaVu Sans" w:hAnsi="DejaVu Sans" w:eastAsia="DejaVu Sans" w:cs="DejaVu Sans"/>
                <w:color w:val="000000"/>
                <w:sz w:val="18"/>
                <w:szCs w:val="18"/>
              </w:rPr>
              <w:t>Describe sources of financial or non-financial support for the review, and the role of the funders or sponsors in the review.</w:t>
            </w:r>
          </w:p>
        </w:tc>
        <w:tc>
          <w:tcPr>
            <w:tcBorders>
              <w:right w:val="single" w:color="000000" w:sz="8" w:space="0"/>
            </w:tcBorders>
            <w:shd w:val="clear" w:color="auto" w:fill="FFFFFF"/>
            <w:tcMar>
              <w:top w:w="0" w:type="dxa"/>
              <w:left w:w="0" w:type="dxa"/>
              <w:bottom w:w="0" w:type="dxa"/>
              <w:right w:w="0" w:type="dxa"/>
            </w:tcMar>
            <w:vAlign w:val="top"/>
          </w:tcPr>
          <w:p w14:paraId="729F99AE">
            <w:pPr>
              <w:spacing w:before="100" w:after="100" w:line="240" w:lineRule="auto"/>
              <w:ind w:left="100" w:right="100" w:firstLine="0"/>
              <w:jc w:val="center"/>
            </w:pPr>
            <w:r>
              <w:rPr>
                <w:rFonts w:hint="eastAsia" w:ascii="DejaVu Sans" w:hAnsi="DejaVu Sans" w:eastAsia="DejaVu Sans" w:cs="DejaVu Sans"/>
                <w:color w:val="000000"/>
                <w:sz w:val="18"/>
                <w:szCs w:val="18"/>
              </w:rPr>
              <w:t>Acknowledgments section: No external funding received for this research; funders had no role in study design, data extraction, statistical analysis or manuscript drafting</w:t>
            </w:r>
          </w:p>
        </w:tc>
      </w:tr>
      <w:tr w14:paraId="05DB3AF1">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2D799D5F">
            <w:pPr>
              <w:spacing w:before="100" w:after="100" w:line="240" w:lineRule="auto"/>
              <w:ind w:left="100" w:right="100" w:firstLine="0"/>
              <w:jc w:val="left"/>
            </w:pPr>
            <w:r>
              <w:rPr>
                <w:rFonts w:ascii="DejaVu Sans" w:hAnsi="DejaVu Sans" w:eastAsia="DejaVu Sans" w:cs="DejaVu Sans"/>
                <w:b/>
                <w:color w:val="000000"/>
                <w:sz w:val="18"/>
                <w:szCs w:val="18"/>
              </w:rPr>
              <w:t>Competing interests</w:t>
            </w:r>
          </w:p>
        </w:tc>
        <w:tc>
          <w:tcPr>
            <w:shd w:val="clear" w:color="auto" w:fill="FFFFFF"/>
            <w:tcMar>
              <w:top w:w="0" w:type="dxa"/>
              <w:left w:w="0" w:type="dxa"/>
              <w:bottom w:w="0" w:type="dxa"/>
              <w:right w:w="0" w:type="dxa"/>
            </w:tcMar>
            <w:vAlign w:val="top"/>
          </w:tcPr>
          <w:p w14:paraId="36F0BFAE">
            <w:pPr>
              <w:spacing w:before="100" w:after="100" w:line="240" w:lineRule="auto"/>
              <w:ind w:left="100" w:right="100" w:firstLine="0"/>
              <w:jc w:val="center"/>
            </w:pPr>
            <w:r>
              <w:rPr>
                <w:rFonts w:ascii="DejaVu Sans" w:hAnsi="DejaVu Sans" w:eastAsia="DejaVu Sans" w:cs="DejaVu Sans"/>
                <w:color w:val="000000"/>
                <w:sz w:val="18"/>
                <w:szCs w:val="18"/>
              </w:rPr>
              <w:t>26</w:t>
            </w:r>
          </w:p>
        </w:tc>
        <w:tc>
          <w:tcPr>
            <w:shd w:val="clear" w:color="auto" w:fill="FFFFFF"/>
            <w:tcMar>
              <w:top w:w="0" w:type="dxa"/>
              <w:left w:w="0" w:type="dxa"/>
              <w:bottom w:w="0" w:type="dxa"/>
              <w:right w:w="0" w:type="dxa"/>
            </w:tcMar>
            <w:vAlign w:val="top"/>
          </w:tcPr>
          <w:p w14:paraId="4ADD592A">
            <w:pPr>
              <w:spacing w:before="100" w:after="100" w:line="240" w:lineRule="auto"/>
              <w:ind w:left="100" w:right="100" w:firstLine="0"/>
              <w:jc w:val="left"/>
            </w:pPr>
            <w:r>
              <w:rPr>
                <w:rFonts w:ascii="DejaVu Sans" w:hAnsi="DejaVu Sans" w:eastAsia="DejaVu Sans" w:cs="DejaVu Sans"/>
                <w:color w:val="000000"/>
                <w:sz w:val="18"/>
                <w:szCs w:val="18"/>
              </w:rPr>
              <w:t>Declare any competing interests of review authors.</w:t>
            </w:r>
          </w:p>
        </w:tc>
        <w:tc>
          <w:tcPr>
            <w:tcBorders>
              <w:right w:val="single" w:color="000000" w:sz="8" w:space="0"/>
            </w:tcBorders>
            <w:shd w:val="clear" w:color="auto" w:fill="FFFFFF"/>
            <w:tcMar>
              <w:top w:w="0" w:type="dxa"/>
              <w:left w:w="0" w:type="dxa"/>
              <w:bottom w:w="0" w:type="dxa"/>
              <w:right w:w="0" w:type="dxa"/>
            </w:tcMar>
            <w:vAlign w:val="top"/>
          </w:tcPr>
          <w:p w14:paraId="63D7D95C">
            <w:pPr>
              <w:spacing w:before="100" w:after="100" w:line="240" w:lineRule="auto"/>
              <w:ind w:left="100" w:right="100" w:firstLine="0"/>
              <w:jc w:val="center"/>
            </w:pPr>
            <w:r>
              <w:rPr>
                <w:rFonts w:hint="eastAsia" w:ascii="DejaVu Sans" w:hAnsi="DejaVu Sans" w:eastAsia="DejaVu Sans" w:cs="DejaVu Sans"/>
                <w:color w:val="000000"/>
                <w:sz w:val="18"/>
                <w:szCs w:val="18"/>
              </w:rPr>
              <w:t>Conflicts of Interest section: All authors declare no conflicts of interest</w:t>
            </w:r>
          </w:p>
        </w:tc>
      </w:tr>
      <w:tr w14:paraId="00FDCB56">
        <w:tblPrEx>
          <w:tblCellMar>
            <w:top w:w="0" w:type="dxa"/>
            <w:left w:w="108" w:type="dxa"/>
            <w:bottom w:w="0" w:type="dxa"/>
            <w:right w:w="108" w:type="dxa"/>
          </w:tblCellMar>
        </w:tblPrEx>
        <w:trPr>
          <w:cantSplit/>
          <w:trHeight w:val="0" w:hRule="atLeast"/>
          <w:jc w:val="center"/>
        </w:trPr>
        <w:tc>
          <w:tcPr>
            <w:tcBorders>
              <w:left w:val="single" w:color="000000" w:sz="8" w:space="0"/>
              <w:bottom w:val="single" w:color="000000" w:sz="8" w:space="0"/>
            </w:tcBorders>
            <w:shd w:val="clear" w:color="auto" w:fill="FFFFFF"/>
            <w:tcMar>
              <w:top w:w="0" w:type="dxa"/>
              <w:left w:w="0" w:type="dxa"/>
              <w:bottom w:w="0" w:type="dxa"/>
              <w:right w:w="0" w:type="dxa"/>
            </w:tcMar>
            <w:vAlign w:val="top"/>
          </w:tcPr>
          <w:p w14:paraId="377ED17D">
            <w:pPr>
              <w:spacing w:before="100" w:after="100" w:line="240" w:lineRule="auto"/>
              <w:ind w:left="100" w:right="100" w:firstLine="0"/>
              <w:jc w:val="left"/>
            </w:pPr>
            <w:r>
              <w:rPr>
                <w:rFonts w:ascii="DejaVu Sans" w:hAnsi="DejaVu Sans" w:eastAsia="DejaVu Sans" w:cs="DejaVu Sans"/>
                <w:b/>
                <w:color w:val="000000"/>
                <w:sz w:val="18"/>
                <w:szCs w:val="18"/>
              </w:rPr>
              <w:t>Availability of data, code and other materials</w:t>
            </w:r>
          </w:p>
        </w:tc>
        <w:tc>
          <w:tcPr>
            <w:tcBorders>
              <w:bottom w:val="single" w:color="000000" w:sz="8" w:space="0"/>
            </w:tcBorders>
            <w:shd w:val="clear" w:color="auto" w:fill="FFFFFF"/>
            <w:tcMar>
              <w:top w:w="0" w:type="dxa"/>
              <w:left w:w="0" w:type="dxa"/>
              <w:bottom w:w="0" w:type="dxa"/>
              <w:right w:w="0" w:type="dxa"/>
            </w:tcMar>
            <w:vAlign w:val="top"/>
          </w:tcPr>
          <w:p w14:paraId="092B458E">
            <w:pPr>
              <w:spacing w:before="100" w:after="100" w:line="240" w:lineRule="auto"/>
              <w:ind w:left="100" w:right="100" w:firstLine="0"/>
              <w:jc w:val="center"/>
            </w:pPr>
            <w:r>
              <w:rPr>
                <w:rFonts w:ascii="DejaVu Sans" w:hAnsi="DejaVu Sans" w:eastAsia="DejaVu Sans" w:cs="DejaVu Sans"/>
                <w:color w:val="000000"/>
                <w:sz w:val="18"/>
                <w:szCs w:val="18"/>
              </w:rPr>
              <w:t>27</w:t>
            </w:r>
          </w:p>
        </w:tc>
        <w:tc>
          <w:tcPr>
            <w:tcBorders>
              <w:bottom w:val="single" w:color="000000" w:sz="8" w:space="0"/>
            </w:tcBorders>
            <w:shd w:val="clear" w:color="auto" w:fill="FFFFFF"/>
            <w:tcMar>
              <w:top w:w="0" w:type="dxa"/>
              <w:left w:w="0" w:type="dxa"/>
              <w:bottom w:w="0" w:type="dxa"/>
              <w:right w:w="0" w:type="dxa"/>
            </w:tcMar>
            <w:vAlign w:val="top"/>
          </w:tcPr>
          <w:p w14:paraId="7BD43D62">
            <w:pPr>
              <w:spacing w:before="100" w:after="100" w:line="240" w:lineRule="auto"/>
              <w:ind w:left="100" w:right="100" w:firstLine="0"/>
              <w:jc w:val="left"/>
            </w:pPr>
            <w:r>
              <w:rPr>
                <w:rFonts w:ascii="DejaVu Sans" w:hAnsi="DejaVu Sans" w:eastAsia="DejaVu Sans" w:cs="DejaVu Sans"/>
                <w:color w:val="000000"/>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Borders>
              <w:bottom w:val="single" w:color="000000" w:sz="8" w:space="0"/>
              <w:right w:val="single" w:color="000000" w:sz="8" w:space="0"/>
            </w:tcBorders>
            <w:shd w:val="clear" w:color="auto" w:fill="FFFFFF"/>
            <w:tcMar>
              <w:top w:w="0" w:type="dxa"/>
              <w:left w:w="0" w:type="dxa"/>
              <w:bottom w:w="0" w:type="dxa"/>
              <w:right w:w="0" w:type="dxa"/>
            </w:tcMar>
            <w:vAlign w:val="top"/>
          </w:tcPr>
          <w:p w14:paraId="2D979248">
            <w:pPr>
              <w:spacing w:before="100" w:after="100" w:line="240" w:lineRule="auto"/>
              <w:ind w:left="100" w:right="100" w:firstLine="0"/>
              <w:jc w:val="center"/>
            </w:pPr>
            <w:r>
              <w:rPr>
                <w:rFonts w:hint="eastAsia" w:ascii="DejaVu Sans" w:hAnsi="DejaVu Sans" w:eastAsia="DejaVu Sans" w:cs="DejaVu Sans"/>
                <w:color w:val="000000"/>
                <w:sz w:val="18"/>
                <w:szCs w:val="18"/>
              </w:rPr>
              <w:t>Availability of Data and Materials section: Extracted datasets available upon reasonable request to the corresponding author; all raw source data extracted from published cited references</w:t>
            </w:r>
          </w:p>
        </w:tc>
      </w:tr>
    </w:tbl>
    <w:p w14:paraId="26482EAA">
      <w:pPr>
        <w:pStyle w:val="7"/>
      </w:pPr>
      <w:bookmarkStart w:id="1" w:name="section"/>
    </w:p>
    <w:bookmarkEnd w:id="0"/>
    <w:bookmarkEnd w:id="1"/>
    <w:p w14:paraId="27EB39FC">
      <w:pPr>
        <w:pStyle w:val="2"/>
      </w:pPr>
      <w:bookmarkStart w:id="2" w:name="primsa-abstract-checklist"/>
      <w:r>
        <w:t>PRIMSA Abstract Checklist</w:t>
      </w:r>
    </w:p>
    <w:tbl>
      <w:tblPr>
        <w:tblStyle w:val="21"/>
        <w:tblW w:w="0" w:type="auto"/>
        <w:jc w:val="center"/>
        <w:tblLayout w:type="autofit"/>
        <w:tblCellMar>
          <w:top w:w="0" w:type="dxa"/>
          <w:left w:w="108" w:type="dxa"/>
          <w:bottom w:w="0" w:type="dxa"/>
          <w:right w:w="108" w:type="dxa"/>
        </w:tblCellMar>
      </w:tblPr>
      <w:tblGrid>
        <w:gridCol w:w="1700"/>
        <w:gridCol w:w="492"/>
        <w:gridCol w:w="6056"/>
        <w:gridCol w:w="1132"/>
      </w:tblGrid>
      <w:tr w14:paraId="53F6CFAF">
        <w:tblPrEx>
          <w:tblCellMar>
            <w:top w:w="0" w:type="dxa"/>
            <w:left w:w="108" w:type="dxa"/>
            <w:bottom w:w="0" w:type="dxa"/>
            <w:right w:w="108" w:type="dxa"/>
          </w:tblCellMar>
        </w:tblPrEx>
        <w:trPr>
          <w:cantSplit/>
          <w:trHeight w:val="0" w:hRule="atLeast"/>
          <w:tblHeader/>
          <w:jc w:val="center"/>
        </w:trPr>
        <w:tc>
          <w:tcPr>
            <w:tcBorders>
              <w:top w:val="single" w:color="000000" w:sz="8" w:space="0"/>
              <w:left w:val="single" w:color="000000" w:sz="8" w:space="0"/>
              <w:bottom w:val="single" w:color="000000" w:sz="8" w:space="0"/>
            </w:tcBorders>
            <w:shd w:val="clear" w:color="auto" w:fill="63639A"/>
            <w:tcMar>
              <w:top w:w="0" w:type="dxa"/>
              <w:left w:w="0" w:type="dxa"/>
              <w:bottom w:w="0" w:type="dxa"/>
              <w:right w:w="0" w:type="dxa"/>
            </w:tcMar>
            <w:vAlign w:val="center"/>
          </w:tcPr>
          <w:p w14:paraId="064B9FE9">
            <w:pPr>
              <w:spacing w:before="100" w:after="100" w:line="240" w:lineRule="auto"/>
              <w:ind w:left="100" w:right="100" w:firstLine="0"/>
              <w:jc w:val="left"/>
            </w:pPr>
            <w:r>
              <w:rPr>
                <w:rFonts w:ascii="DejaVu Sans" w:hAnsi="DejaVu Sans" w:eastAsia="DejaVu Sans" w:cs="DejaVu Sans"/>
                <w:b/>
                <w:color w:val="FFFFFF"/>
                <w:sz w:val="18"/>
                <w:szCs w:val="18"/>
              </w:rPr>
              <w:t>Topic</w:t>
            </w:r>
          </w:p>
        </w:tc>
        <w:tc>
          <w:tcPr>
            <w:tcBorders>
              <w:top w:val="single" w:color="000000" w:sz="8" w:space="0"/>
              <w:bottom w:val="single" w:color="000000" w:sz="8" w:space="0"/>
            </w:tcBorders>
            <w:shd w:val="clear" w:color="auto" w:fill="63639A"/>
            <w:tcMar>
              <w:top w:w="0" w:type="dxa"/>
              <w:left w:w="0" w:type="dxa"/>
              <w:bottom w:w="0" w:type="dxa"/>
              <w:right w:w="0" w:type="dxa"/>
            </w:tcMar>
            <w:vAlign w:val="center"/>
          </w:tcPr>
          <w:p w14:paraId="34A03D8E">
            <w:pPr>
              <w:spacing w:before="100" w:after="100" w:line="240" w:lineRule="auto"/>
              <w:ind w:left="100" w:right="100" w:firstLine="0"/>
              <w:jc w:val="center"/>
            </w:pPr>
            <w:r>
              <w:rPr>
                <w:rFonts w:ascii="DejaVu Sans" w:hAnsi="DejaVu Sans" w:eastAsia="DejaVu Sans" w:cs="DejaVu Sans"/>
                <w:b/>
                <w:color w:val="FFFFFF"/>
                <w:sz w:val="18"/>
                <w:szCs w:val="18"/>
              </w:rPr>
              <w:t>No.</w:t>
            </w:r>
          </w:p>
        </w:tc>
        <w:tc>
          <w:tcPr>
            <w:tcBorders>
              <w:top w:val="single" w:color="000000" w:sz="8" w:space="0"/>
              <w:bottom w:val="single" w:color="000000" w:sz="8" w:space="0"/>
            </w:tcBorders>
            <w:shd w:val="clear" w:color="auto" w:fill="63639A"/>
            <w:tcMar>
              <w:top w:w="0" w:type="dxa"/>
              <w:left w:w="0" w:type="dxa"/>
              <w:bottom w:w="0" w:type="dxa"/>
              <w:right w:w="0" w:type="dxa"/>
            </w:tcMar>
            <w:vAlign w:val="center"/>
          </w:tcPr>
          <w:p w14:paraId="3E67CC6A">
            <w:pPr>
              <w:spacing w:before="100" w:after="100" w:line="240" w:lineRule="auto"/>
              <w:ind w:left="100" w:right="100" w:firstLine="0"/>
              <w:jc w:val="left"/>
            </w:pPr>
            <w:r>
              <w:rPr>
                <w:rFonts w:ascii="DejaVu Sans" w:hAnsi="DejaVu Sans" w:eastAsia="DejaVu Sans" w:cs="DejaVu Sans"/>
                <w:b/>
                <w:color w:val="FFFFFF"/>
                <w:sz w:val="18"/>
                <w:szCs w:val="18"/>
              </w:rPr>
              <w:t>Item</w:t>
            </w:r>
          </w:p>
        </w:tc>
        <w:tc>
          <w:tcPr>
            <w:tcBorders>
              <w:top w:val="single" w:color="000000" w:sz="8" w:space="0"/>
              <w:bottom w:val="single" w:color="000000" w:sz="8" w:space="0"/>
              <w:right w:val="single" w:color="000000" w:sz="8" w:space="0"/>
            </w:tcBorders>
            <w:shd w:val="clear" w:color="auto" w:fill="63639A"/>
            <w:tcMar>
              <w:top w:w="0" w:type="dxa"/>
              <w:left w:w="0" w:type="dxa"/>
              <w:bottom w:w="0" w:type="dxa"/>
              <w:right w:w="0" w:type="dxa"/>
            </w:tcMar>
            <w:vAlign w:val="center"/>
          </w:tcPr>
          <w:p w14:paraId="41A92038">
            <w:pPr>
              <w:spacing w:before="100" w:after="100" w:line="240" w:lineRule="auto"/>
              <w:ind w:left="100" w:right="100" w:firstLine="0"/>
              <w:jc w:val="center"/>
            </w:pPr>
            <w:r>
              <w:rPr>
                <w:rFonts w:ascii="DejaVu Sans" w:hAnsi="DejaVu Sans" w:eastAsia="DejaVu Sans" w:cs="DejaVu Sans"/>
                <w:b/>
                <w:color w:val="FFFFFF"/>
                <w:sz w:val="18"/>
                <w:szCs w:val="18"/>
              </w:rPr>
              <w:t>Reported?</w:t>
            </w:r>
          </w:p>
        </w:tc>
      </w:tr>
      <w:tr w14:paraId="4982C81C">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CC"/>
            <w:tcMar>
              <w:top w:w="0" w:type="dxa"/>
              <w:left w:w="0" w:type="dxa"/>
              <w:bottom w:w="0" w:type="dxa"/>
              <w:right w:w="0" w:type="dxa"/>
            </w:tcMar>
            <w:vAlign w:val="top"/>
          </w:tcPr>
          <w:p w14:paraId="315013C7">
            <w:pPr>
              <w:spacing w:before="100" w:after="100" w:line="240" w:lineRule="auto"/>
              <w:ind w:left="100" w:right="100" w:firstLine="0"/>
              <w:jc w:val="left"/>
            </w:pPr>
            <w:r>
              <w:rPr>
                <w:rFonts w:ascii="DejaVu Sans" w:hAnsi="DejaVu Sans" w:eastAsia="DejaVu Sans" w:cs="DejaVu Sans"/>
                <w:b/>
                <w:color w:val="000000"/>
                <w:sz w:val="18"/>
                <w:szCs w:val="18"/>
              </w:rPr>
              <w:t>TITLE</w:t>
            </w:r>
          </w:p>
        </w:tc>
        <w:tc>
          <w:tcPr>
            <w:shd w:val="clear" w:color="auto" w:fill="FFFFCC"/>
            <w:tcMar>
              <w:top w:w="0" w:type="dxa"/>
              <w:left w:w="0" w:type="dxa"/>
              <w:bottom w:w="0" w:type="dxa"/>
              <w:right w:w="0" w:type="dxa"/>
            </w:tcMar>
            <w:vAlign w:val="top"/>
          </w:tcPr>
          <w:p w14:paraId="430A0473">
            <w:pPr>
              <w:spacing w:before="100" w:after="100" w:line="240" w:lineRule="auto"/>
              <w:ind w:left="100" w:right="100" w:firstLine="0"/>
              <w:jc w:val="center"/>
            </w:pPr>
          </w:p>
        </w:tc>
        <w:tc>
          <w:tcPr>
            <w:shd w:val="clear" w:color="auto" w:fill="FFFFCC"/>
            <w:tcMar>
              <w:top w:w="0" w:type="dxa"/>
              <w:left w:w="0" w:type="dxa"/>
              <w:bottom w:w="0" w:type="dxa"/>
              <w:right w:w="0" w:type="dxa"/>
            </w:tcMar>
            <w:vAlign w:val="top"/>
          </w:tcPr>
          <w:p w14:paraId="3DAD71AA">
            <w:pPr>
              <w:spacing w:before="100" w:after="100" w:line="240" w:lineRule="auto"/>
              <w:ind w:left="100" w:right="100" w:firstLine="0"/>
              <w:jc w:val="left"/>
            </w:pPr>
          </w:p>
        </w:tc>
        <w:tc>
          <w:tcPr>
            <w:tcBorders>
              <w:right w:val="single" w:color="000000" w:sz="8" w:space="0"/>
            </w:tcBorders>
            <w:shd w:val="clear" w:color="auto" w:fill="FFFFCC"/>
            <w:tcMar>
              <w:top w:w="0" w:type="dxa"/>
              <w:left w:w="0" w:type="dxa"/>
              <w:bottom w:w="0" w:type="dxa"/>
              <w:right w:w="0" w:type="dxa"/>
            </w:tcMar>
            <w:vAlign w:val="top"/>
          </w:tcPr>
          <w:p w14:paraId="1AF90BB1">
            <w:pPr>
              <w:spacing w:before="100" w:after="100" w:line="240" w:lineRule="auto"/>
              <w:ind w:left="100" w:right="100" w:firstLine="0"/>
              <w:jc w:val="center"/>
            </w:pPr>
          </w:p>
        </w:tc>
      </w:tr>
      <w:tr w14:paraId="16D71D53">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28544C2F">
            <w:pPr>
              <w:spacing w:before="100" w:after="100" w:line="240" w:lineRule="auto"/>
              <w:ind w:left="100" w:right="100" w:firstLine="0"/>
              <w:jc w:val="left"/>
            </w:pPr>
            <w:r>
              <w:rPr>
                <w:rFonts w:ascii="DejaVu Sans" w:hAnsi="DejaVu Sans" w:eastAsia="DejaVu Sans" w:cs="DejaVu Sans"/>
                <w:b/>
                <w:color w:val="000000"/>
                <w:sz w:val="18"/>
                <w:szCs w:val="18"/>
              </w:rPr>
              <w:t>Title</w:t>
            </w:r>
          </w:p>
        </w:tc>
        <w:tc>
          <w:tcPr>
            <w:shd w:val="clear" w:color="auto" w:fill="FFFFFF"/>
            <w:tcMar>
              <w:top w:w="0" w:type="dxa"/>
              <w:left w:w="0" w:type="dxa"/>
              <w:bottom w:w="0" w:type="dxa"/>
              <w:right w:w="0" w:type="dxa"/>
            </w:tcMar>
            <w:vAlign w:val="top"/>
          </w:tcPr>
          <w:p w14:paraId="495D822F">
            <w:pPr>
              <w:spacing w:before="100" w:after="100" w:line="240" w:lineRule="auto"/>
              <w:ind w:left="100" w:right="100" w:firstLine="0"/>
              <w:jc w:val="center"/>
            </w:pPr>
            <w:r>
              <w:rPr>
                <w:rFonts w:ascii="DejaVu Sans" w:hAnsi="DejaVu Sans" w:eastAsia="DejaVu Sans" w:cs="DejaVu Sans"/>
                <w:color w:val="000000"/>
                <w:sz w:val="18"/>
                <w:szCs w:val="18"/>
              </w:rPr>
              <w:t>1</w:t>
            </w:r>
          </w:p>
        </w:tc>
        <w:tc>
          <w:tcPr>
            <w:shd w:val="clear" w:color="auto" w:fill="FFFFFF"/>
            <w:tcMar>
              <w:top w:w="0" w:type="dxa"/>
              <w:left w:w="0" w:type="dxa"/>
              <w:bottom w:w="0" w:type="dxa"/>
              <w:right w:w="0" w:type="dxa"/>
            </w:tcMar>
            <w:vAlign w:val="top"/>
          </w:tcPr>
          <w:p w14:paraId="68F1D05D">
            <w:pPr>
              <w:spacing w:before="100" w:after="100" w:line="240" w:lineRule="auto"/>
              <w:ind w:left="100" w:right="100" w:firstLine="0"/>
              <w:jc w:val="left"/>
            </w:pPr>
            <w:r>
              <w:rPr>
                <w:rFonts w:ascii="DejaVu Sans" w:hAnsi="DejaVu Sans" w:eastAsia="DejaVu Sans" w:cs="DejaVu Sans"/>
                <w:color w:val="000000"/>
                <w:sz w:val="18"/>
                <w:szCs w:val="18"/>
              </w:rPr>
              <w:t>Identify the report as a systematic review.</w:t>
            </w:r>
          </w:p>
        </w:tc>
        <w:tc>
          <w:tcPr>
            <w:tcBorders>
              <w:right w:val="single" w:color="000000" w:sz="8" w:space="0"/>
            </w:tcBorders>
            <w:shd w:val="clear" w:color="auto" w:fill="FFFFFF"/>
            <w:tcMar>
              <w:top w:w="0" w:type="dxa"/>
              <w:left w:w="0" w:type="dxa"/>
              <w:bottom w:w="0" w:type="dxa"/>
              <w:right w:w="0" w:type="dxa"/>
            </w:tcMar>
            <w:vAlign w:val="top"/>
          </w:tcPr>
          <w:p w14:paraId="02723555">
            <w:pPr>
              <w:spacing w:before="100" w:after="100" w:line="240" w:lineRule="auto"/>
              <w:ind w:left="100" w:right="100" w:firstLine="0"/>
              <w:jc w:val="center"/>
            </w:pPr>
            <w:r>
              <w:rPr>
                <w:rFonts w:ascii="DejaVu Sans" w:hAnsi="DejaVu Sans" w:eastAsia="DejaVu Sans" w:cs="DejaVu Sans"/>
                <w:color w:val="000000"/>
                <w:sz w:val="18"/>
                <w:szCs w:val="18"/>
              </w:rPr>
              <w:t>Yes</w:t>
            </w:r>
          </w:p>
        </w:tc>
      </w:tr>
      <w:tr w14:paraId="0458271F">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CC"/>
            <w:tcMar>
              <w:top w:w="0" w:type="dxa"/>
              <w:left w:w="0" w:type="dxa"/>
              <w:bottom w:w="0" w:type="dxa"/>
              <w:right w:w="0" w:type="dxa"/>
            </w:tcMar>
            <w:vAlign w:val="top"/>
          </w:tcPr>
          <w:p w14:paraId="3ADEB8A2">
            <w:pPr>
              <w:spacing w:before="100" w:after="100" w:line="240" w:lineRule="auto"/>
              <w:ind w:left="100" w:right="100" w:firstLine="0"/>
              <w:jc w:val="left"/>
            </w:pPr>
            <w:r>
              <w:rPr>
                <w:rFonts w:ascii="DejaVu Sans" w:hAnsi="DejaVu Sans" w:eastAsia="DejaVu Sans" w:cs="DejaVu Sans"/>
                <w:b/>
                <w:color w:val="000000"/>
                <w:sz w:val="18"/>
                <w:szCs w:val="18"/>
              </w:rPr>
              <w:t>BACKGROUND</w:t>
            </w:r>
          </w:p>
        </w:tc>
        <w:tc>
          <w:tcPr>
            <w:shd w:val="clear" w:color="auto" w:fill="FFFFCC"/>
            <w:tcMar>
              <w:top w:w="0" w:type="dxa"/>
              <w:left w:w="0" w:type="dxa"/>
              <w:bottom w:w="0" w:type="dxa"/>
              <w:right w:w="0" w:type="dxa"/>
            </w:tcMar>
            <w:vAlign w:val="top"/>
          </w:tcPr>
          <w:p w14:paraId="1D8465FA">
            <w:pPr>
              <w:spacing w:before="100" w:after="100" w:line="240" w:lineRule="auto"/>
              <w:ind w:left="100" w:right="100" w:firstLine="0"/>
              <w:jc w:val="center"/>
            </w:pPr>
          </w:p>
        </w:tc>
        <w:tc>
          <w:tcPr>
            <w:shd w:val="clear" w:color="auto" w:fill="FFFFCC"/>
            <w:tcMar>
              <w:top w:w="0" w:type="dxa"/>
              <w:left w:w="0" w:type="dxa"/>
              <w:bottom w:w="0" w:type="dxa"/>
              <w:right w:w="0" w:type="dxa"/>
            </w:tcMar>
            <w:vAlign w:val="top"/>
          </w:tcPr>
          <w:p w14:paraId="1DA6CBCA">
            <w:pPr>
              <w:spacing w:before="100" w:after="100" w:line="240" w:lineRule="auto"/>
              <w:ind w:left="100" w:right="100" w:firstLine="0"/>
              <w:jc w:val="left"/>
            </w:pPr>
          </w:p>
        </w:tc>
        <w:tc>
          <w:tcPr>
            <w:tcBorders>
              <w:right w:val="single" w:color="000000" w:sz="8" w:space="0"/>
            </w:tcBorders>
            <w:shd w:val="clear" w:color="auto" w:fill="FFFFCC"/>
            <w:tcMar>
              <w:top w:w="0" w:type="dxa"/>
              <w:left w:w="0" w:type="dxa"/>
              <w:bottom w:w="0" w:type="dxa"/>
              <w:right w:w="0" w:type="dxa"/>
            </w:tcMar>
            <w:vAlign w:val="top"/>
          </w:tcPr>
          <w:p w14:paraId="2DEF2CAB">
            <w:pPr>
              <w:spacing w:before="100" w:after="100" w:line="240" w:lineRule="auto"/>
              <w:ind w:left="100" w:right="100" w:firstLine="0"/>
              <w:jc w:val="center"/>
            </w:pPr>
          </w:p>
        </w:tc>
      </w:tr>
      <w:tr w14:paraId="55CEABFA">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792B84C9">
            <w:pPr>
              <w:spacing w:before="100" w:after="100" w:line="240" w:lineRule="auto"/>
              <w:ind w:left="100" w:right="100" w:firstLine="0"/>
              <w:jc w:val="left"/>
            </w:pPr>
            <w:r>
              <w:rPr>
                <w:rFonts w:ascii="DejaVu Sans" w:hAnsi="DejaVu Sans" w:eastAsia="DejaVu Sans" w:cs="DejaVu Sans"/>
                <w:b/>
                <w:color w:val="000000"/>
                <w:sz w:val="18"/>
                <w:szCs w:val="18"/>
              </w:rPr>
              <w:t>Objectives</w:t>
            </w:r>
          </w:p>
        </w:tc>
        <w:tc>
          <w:tcPr>
            <w:shd w:val="clear" w:color="auto" w:fill="FFFFFF"/>
            <w:tcMar>
              <w:top w:w="0" w:type="dxa"/>
              <w:left w:w="0" w:type="dxa"/>
              <w:bottom w:w="0" w:type="dxa"/>
              <w:right w:w="0" w:type="dxa"/>
            </w:tcMar>
            <w:vAlign w:val="top"/>
          </w:tcPr>
          <w:p w14:paraId="7E5E24A5">
            <w:pPr>
              <w:spacing w:before="100" w:after="100" w:line="240" w:lineRule="auto"/>
              <w:ind w:left="100" w:right="100" w:firstLine="0"/>
              <w:jc w:val="center"/>
            </w:pPr>
            <w:r>
              <w:rPr>
                <w:rFonts w:ascii="DejaVu Sans" w:hAnsi="DejaVu Sans" w:eastAsia="DejaVu Sans" w:cs="DejaVu Sans"/>
                <w:color w:val="000000"/>
                <w:sz w:val="18"/>
                <w:szCs w:val="18"/>
              </w:rPr>
              <w:t>2</w:t>
            </w:r>
          </w:p>
        </w:tc>
        <w:tc>
          <w:tcPr>
            <w:shd w:val="clear" w:color="auto" w:fill="FFFFFF"/>
            <w:tcMar>
              <w:top w:w="0" w:type="dxa"/>
              <w:left w:w="0" w:type="dxa"/>
              <w:bottom w:w="0" w:type="dxa"/>
              <w:right w:w="0" w:type="dxa"/>
            </w:tcMar>
            <w:vAlign w:val="top"/>
          </w:tcPr>
          <w:p w14:paraId="504B25B1">
            <w:pPr>
              <w:spacing w:before="100" w:after="100" w:line="240" w:lineRule="auto"/>
              <w:ind w:left="100" w:right="100" w:firstLine="0"/>
              <w:jc w:val="left"/>
            </w:pPr>
            <w:r>
              <w:rPr>
                <w:rFonts w:ascii="DejaVu Sans" w:hAnsi="DejaVu Sans" w:eastAsia="DejaVu Sans" w:cs="DejaVu Sans"/>
                <w:color w:val="000000"/>
                <w:sz w:val="18"/>
                <w:szCs w:val="18"/>
              </w:rPr>
              <w:t>Provide an explicit statement of the main objective(s) or question(s) the review addresses.</w:t>
            </w:r>
          </w:p>
        </w:tc>
        <w:tc>
          <w:tcPr>
            <w:tcBorders>
              <w:right w:val="single" w:color="000000" w:sz="8" w:space="0"/>
            </w:tcBorders>
            <w:shd w:val="clear" w:color="auto" w:fill="FFFFFF"/>
            <w:tcMar>
              <w:top w:w="0" w:type="dxa"/>
              <w:left w:w="0" w:type="dxa"/>
              <w:bottom w:w="0" w:type="dxa"/>
              <w:right w:w="0" w:type="dxa"/>
            </w:tcMar>
            <w:vAlign w:val="top"/>
          </w:tcPr>
          <w:p w14:paraId="1FDAB999">
            <w:pPr>
              <w:spacing w:before="100" w:after="100" w:line="240" w:lineRule="auto"/>
              <w:ind w:left="100" w:right="100" w:firstLine="0"/>
              <w:jc w:val="center"/>
            </w:pPr>
            <w:r>
              <w:rPr>
                <w:rFonts w:ascii="DejaVu Sans" w:hAnsi="DejaVu Sans" w:eastAsia="DejaVu Sans" w:cs="DejaVu Sans"/>
                <w:color w:val="000000"/>
                <w:sz w:val="18"/>
                <w:szCs w:val="18"/>
              </w:rPr>
              <w:t>Yes</w:t>
            </w:r>
          </w:p>
        </w:tc>
      </w:tr>
      <w:tr w14:paraId="3DD39503">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CC"/>
            <w:tcMar>
              <w:top w:w="0" w:type="dxa"/>
              <w:left w:w="0" w:type="dxa"/>
              <w:bottom w:w="0" w:type="dxa"/>
              <w:right w:w="0" w:type="dxa"/>
            </w:tcMar>
            <w:vAlign w:val="top"/>
          </w:tcPr>
          <w:p w14:paraId="4A785EB0">
            <w:pPr>
              <w:spacing w:before="100" w:after="100" w:line="240" w:lineRule="auto"/>
              <w:ind w:left="100" w:right="100" w:firstLine="0"/>
              <w:jc w:val="left"/>
            </w:pPr>
            <w:r>
              <w:rPr>
                <w:rFonts w:ascii="DejaVu Sans" w:hAnsi="DejaVu Sans" w:eastAsia="DejaVu Sans" w:cs="DejaVu Sans"/>
                <w:b/>
                <w:color w:val="000000"/>
                <w:sz w:val="18"/>
                <w:szCs w:val="18"/>
              </w:rPr>
              <w:t>METHODS</w:t>
            </w:r>
          </w:p>
        </w:tc>
        <w:tc>
          <w:tcPr>
            <w:shd w:val="clear" w:color="auto" w:fill="FFFFCC"/>
            <w:tcMar>
              <w:top w:w="0" w:type="dxa"/>
              <w:left w:w="0" w:type="dxa"/>
              <w:bottom w:w="0" w:type="dxa"/>
              <w:right w:w="0" w:type="dxa"/>
            </w:tcMar>
            <w:vAlign w:val="top"/>
          </w:tcPr>
          <w:p w14:paraId="4478BA79">
            <w:pPr>
              <w:spacing w:before="100" w:after="100" w:line="240" w:lineRule="auto"/>
              <w:ind w:left="100" w:right="100" w:firstLine="0"/>
              <w:jc w:val="center"/>
            </w:pPr>
          </w:p>
        </w:tc>
        <w:tc>
          <w:tcPr>
            <w:shd w:val="clear" w:color="auto" w:fill="FFFFCC"/>
            <w:tcMar>
              <w:top w:w="0" w:type="dxa"/>
              <w:left w:w="0" w:type="dxa"/>
              <w:bottom w:w="0" w:type="dxa"/>
              <w:right w:w="0" w:type="dxa"/>
            </w:tcMar>
            <w:vAlign w:val="top"/>
          </w:tcPr>
          <w:p w14:paraId="19371B16">
            <w:pPr>
              <w:spacing w:before="100" w:after="100" w:line="240" w:lineRule="auto"/>
              <w:ind w:left="100" w:right="100" w:firstLine="0"/>
              <w:jc w:val="left"/>
            </w:pPr>
          </w:p>
        </w:tc>
        <w:tc>
          <w:tcPr>
            <w:tcBorders>
              <w:right w:val="single" w:color="000000" w:sz="8" w:space="0"/>
            </w:tcBorders>
            <w:shd w:val="clear" w:color="auto" w:fill="FFFFCC"/>
            <w:tcMar>
              <w:top w:w="0" w:type="dxa"/>
              <w:left w:w="0" w:type="dxa"/>
              <w:bottom w:w="0" w:type="dxa"/>
              <w:right w:w="0" w:type="dxa"/>
            </w:tcMar>
            <w:vAlign w:val="top"/>
          </w:tcPr>
          <w:p w14:paraId="52955034">
            <w:pPr>
              <w:spacing w:before="100" w:after="100" w:line="240" w:lineRule="auto"/>
              <w:ind w:left="100" w:right="100" w:firstLine="0"/>
              <w:jc w:val="center"/>
            </w:pPr>
          </w:p>
        </w:tc>
      </w:tr>
      <w:tr w14:paraId="35D81DF9">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068C35DD">
            <w:pPr>
              <w:spacing w:before="100" w:after="100" w:line="240" w:lineRule="auto"/>
              <w:ind w:left="100" w:right="100" w:firstLine="0"/>
              <w:jc w:val="left"/>
            </w:pPr>
            <w:r>
              <w:rPr>
                <w:rFonts w:ascii="DejaVu Sans" w:hAnsi="DejaVu Sans" w:eastAsia="DejaVu Sans" w:cs="DejaVu Sans"/>
                <w:b/>
                <w:color w:val="000000"/>
                <w:sz w:val="18"/>
                <w:szCs w:val="18"/>
              </w:rPr>
              <w:t>Eligibility criteria</w:t>
            </w:r>
          </w:p>
        </w:tc>
        <w:tc>
          <w:tcPr>
            <w:shd w:val="clear" w:color="auto" w:fill="FFFFFF"/>
            <w:tcMar>
              <w:top w:w="0" w:type="dxa"/>
              <w:left w:w="0" w:type="dxa"/>
              <w:bottom w:w="0" w:type="dxa"/>
              <w:right w:w="0" w:type="dxa"/>
            </w:tcMar>
            <w:vAlign w:val="top"/>
          </w:tcPr>
          <w:p w14:paraId="5AE60F28">
            <w:pPr>
              <w:spacing w:before="100" w:after="100" w:line="240" w:lineRule="auto"/>
              <w:ind w:left="100" w:right="100" w:firstLine="0"/>
              <w:jc w:val="center"/>
            </w:pPr>
            <w:r>
              <w:rPr>
                <w:rFonts w:ascii="DejaVu Sans" w:hAnsi="DejaVu Sans" w:eastAsia="DejaVu Sans" w:cs="DejaVu Sans"/>
                <w:color w:val="000000"/>
                <w:sz w:val="18"/>
                <w:szCs w:val="18"/>
              </w:rPr>
              <w:t>3</w:t>
            </w:r>
          </w:p>
        </w:tc>
        <w:tc>
          <w:tcPr>
            <w:shd w:val="clear" w:color="auto" w:fill="FFFFFF"/>
            <w:tcMar>
              <w:top w:w="0" w:type="dxa"/>
              <w:left w:w="0" w:type="dxa"/>
              <w:bottom w:w="0" w:type="dxa"/>
              <w:right w:w="0" w:type="dxa"/>
            </w:tcMar>
            <w:vAlign w:val="top"/>
          </w:tcPr>
          <w:p w14:paraId="7A380315">
            <w:pPr>
              <w:spacing w:before="100" w:after="100" w:line="240" w:lineRule="auto"/>
              <w:ind w:left="100" w:right="100" w:firstLine="0"/>
              <w:jc w:val="left"/>
            </w:pPr>
            <w:r>
              <w:rPr>
                <w:rFonts w:ascii="DejaVu Sans" w:hAnsi="DejaVu Sans" w:eastAsia="DejaVu Sans" w:cs="DejaVu Sans"/>
                <w:color w:val="000000"/>
                <w:sz w:val="18"/>
                <w:szCs w:val="18"/>
              </w:rPr>
              <w:t>Specify the inclusion and exclusion criteria for the review.</w:t>
            </w:r>
          </w:p>
        </w:tc>
        <w:tc>
          <w:tcPr>
            <w:tcBorders>
              <w:right w:val="single" w:color="000000" w:sz="8" w:space="0"/>
            </w:tcBorders>
            <w:shd w:val="clear" w:color="auto" w:fill="FFFFFF"/>
            <w:tcMar>
              <w:top w:w="0" w:type="dxa"/>
              <w:left w:w="0" w:type="dxa"/>
              <w:bottom w:w="0" w:type="dxa"/>
              <w:right w:w="0" w:type="dxa"/>
            </w:tcMar>
            <w:vAlign w:val="top"/>
          </w:tcPr>
          <w:p w14:paraId="22DAAB2B">
            <w:pPr>
              <w:spacing w:before="100" w:after="100" w:line="240" w:lineRule="auto"/>
              <w:ind w:left="100" w:right="100" w:firstLine="0"/>
              <w:jc w:val="center"/>
            </w:pPr>
            <w:r>
              <w:rPr>
                <w:rFonts w:ascii="DejaVu Sans" w:hAnsi="DejaVu Sans" w:eastAsia="DejaVu Sans" w:cs="DejaVu Sans"/>
                <w:color w:val="000000"/>
                <w:sz w:val="18"/>
                <w:szCs w:val="18"/>
              </w:rPr>
              <w:t>Yes</w:t>
            </w:r>
          </w:p>
        </w:tc>
      </w:tr>
      <w:tr w14:paraId="205B6486">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47922827">
            <w:pPr>
              <w:spacing w:before="100" w:after="100" w:line="240" w:lineRule="auto"/>
              <w:ind w:left="100" w:right="100" w:firstLine="0"/>
              <w:jc w:val="left"/>
            </w:pPr>
            <w:r>
              <w:rPr>
                <w:rFonts w:ascii="DejaVu Sans" w:hAnsi="DejaVu Sans" w:eastAsia="DejaVu Sans" w:cs="DejaVu Sans"/>
                <w:b/>
                <w:color w:val="000000"/>
                <w:sz w:val="18"/>
                <w:szCs w:val="18"/>
              </w:rPr>
              <w:t>Information sources</w:t>
            </w:r>
          </w:p>
        </w:tc>
        <w:tc>
          <w:tcPr>
            <w:shd w:val="clear" w:color="auto" w:fill="FFFFFF"/>
            <w:tcMar>
              <w:top w:w="0" w:type="dxa"/>
              <w:left w:w="0" w:type="dxa"/>
              <w:bottom w:w="0" w:type="dxa"/>
              <w:right w:w="0" w:type="dxa"/>
            </w:tcMar>
            <w:vAlign w:val="top"/>
          </w:tcPr>
          <w:p w14:paraId="152EECA5">
            <w:pPr>
              <w:spacing w:before="100" w:after="100" w:line="240" w:lineRule="auto"/>
              <w:ind w:left="100" w:right="100" w:firstLine="0"/>
              <w:jc w:val="center"/>
            </w:pPr>
            <w:r>
              <w:rPr>
                <w:rFonts w:ascii="DejaVu Sans" w:hAnsi="DejaVu Sans" w:eastAsia="DejaVu Sans" w:cs="DejaVu Sans"/>
                <w:color w:val="000000"/>
                <w:sz w:val="18"/>
                <w:szCs w:val="18"/>
              </w:rPr>
              <w:t>4</w:t>
            </w:r>
          </w:p>
        </w:tc>
        <w:tc>
          <w:tcPr>
            <w:shd w:val="clear" w:color="auto" w:fill="FFFFFF"/>
            <w:tcMar>
              <w:top w:w="0" w:type="dxa"/>
              <w:left w:w="0" w:type="dxa"/>
              <w:bottom w:w="0" w:type="dxa"/>
              <w:right w:w="0" w:type="dxa"/>
            </w:tcMar>
            <w:vAlign w:val="top"/>
          </w:tcPr>
          <w:p w14:paraId="2F8B97EC">
            <w:pPr>
              <w:spacing w:before="100" w:after="100" w:line="240" w:lineRule="auto"/>
              <w:ind w:left="100" w:right="100" w:firstLine="0"/>
              <w:jc w:val="left"/>
            </w:pPr>
            <w:r>
              <w:rPr>
                <w:rFonts w:ascii="DejaVu Sans" w:hAnsi="DejaVu Sans" w:eastAsia="DejaVu Sans" w:cs="DejaVu Sans"/>
                <w:color w:val="000000"/>
                <w:sz w:val="18"/>
                <w:szCs w:val="18"/>
              </w:rPr>
              <w:t xml:space="preserve">Specify the information sources (e.g. databases, registers) used to identify studies and the date when each was last searched. </w:t>
            </w:r>
          </w:p>
        </w:tc>
        <w:tc>
          <w:tcPr>
            <w:tcBorders>
              <w:right w:val="single" w:color="000000" w:sz="8" w:space="0"/>
            </w:tcBorders>
            <w:shd w:val="clear" w:color="auto" w:fill="FFFFFF"/>
            <w:tcMar>
              <w:top w:w="0" w:type="dxa"/>
              <w:left w:w="0" w:type="dxa"/>
              <w:bottom w:w="0" w:type="dxa"/>
              <w:right w:w="0" w:type="dxa"/>
            </w:tcMar>
            <w:vAlign w:val="top"/>
          </w:tcPr>
          <w:p w14:paraId="2FFEDD37">
            <w:pPr>
              <w:spacing w:before="100" w:after="100" w:line="240" w:lineRule="auto"/>
              <w:ind w:left="100" w:right="100" w:firstLine="0"/>
              <w:jc w:val="center"/>
            </w:pPr>
            <w:r>
              <w:rPr>
                <w:rFonts w:ascii="DejaVu Sans" w:hAnsi="DejaVu Sans" w:eastAsia="DejaVu Sans" w:cs="DejaVu Sans"/>
                <w:color w:val="000000"/>
                <w:sz w:val="18"/>
                <w:szCs w:val="18"/>
              </w:rPr>
              <w:t>Yes</w:t>
            </w:r>
          </w:p>
        </w:tc>
      </w:tr>
      <w:tr w14:paraId="265174F6">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11080C68">
            <w:pPr>
              <w:spacing w:before="100" w:after="100" w:line="240" w:lineRule="auto"/>
              <w:ind w:left="100" w:right="100" w:firstLine="0"/>
              <w:jc w:val="left"/>
            </w:pPr>
            <w:r>
              <w:rPr>
                <w:rFonts w:ascii="DejaVu Sans" w:hAnsi="DejaVu Sans" w:eastAsia="DejaVu Sans" w:cs="DejaVu Sans"/>
                <w:b/>
                <w:color w:val="000000"/>
                <w:sz w:val="18"/>
                <w:szCs w:val="18"/>
              </w:rPr>
              <w:t>Risk of bias</w:t>
            </w:r>
          </w:p>
        </w:tc>
        <w:tc>
          <w:tcPr>
            <w:shd w:val="clear" w:color="auto" w:fill="FFFFFF"/>
            <w:tcMar>
              <w:top w:w="0" w:type="dxa"/>
              <w:left w:w="0" w:type="dxa"/>
              <w:bottom w:w="0" w:type="dxa"/>
              <w:right w:w="0" w:type="dxa"/>
            </w:tcMar>
            <w:vAlign w:val="top"/>
          </w:tcPr>
          <w:p w14:paraId="7C49FBD3">
            <w:pPr>
              <w:spacing w:before="100" w:after="100" w:line="240" w:lineRule="auto"/>
              <w:ind w:left="100" w:right="100" w:firstLine="0"/>
              <w:jc w:val="center"/>
            </w:pPr>
            <w:r>
              <w:rPr>
                <w:rFonts w:ascii="DejaVu Sans" w:hAnsi="DejaVu Sans" w:eastAsia="DejaVu Sans" w:cs="DejaVu Sans"/>
                <w:color w:val="000000"/>
                <w:sz w:val="18"/>
                <w:szCs w:val="18"/>
              </w:rPr>
              <w:t>5</w:t>
            </w:r>
          </w:p>
        </w:tc>
        <w:tc>
          <w:tcPr>
            <w:shd w:val="clear" w:color="auto" w:fill="FFFFFF"/>
            <w:tcMar>
              <w:top w:w="0" w:type="dxa"/>
              <w:left w:w="0" w:type="dxa"/>
              <w:bottom w:w="0" w:type="dxa"/>
              <w:right w:w="0" w:type="dxa"/>
            </w:tcMar>
            <w:vAlign w:val="top"/>
          </w:tcPr>
          <w:p w14:paraId="754A1CA6">
            <w:pPr>
              <w:spacing w:before="100" w:after="100" w:line="240" w:lineRule="auto"/>
              <w:ind w:left="100" w:right="100" w:firstLine="0"/>
              <w:jc w:val="left"/>
            </w:pPr>
            <w:r>
              <w:rPr>
                <w:rFonts w:ascii="DejaVu Sans" w:hAnsi="DejaVu Sans" w:eastAsia="DejaVu Sans" w:cs="DejaVu Sans"/>
                <w:color w:val="000000"/>
                <w:sz w:val="18"/>
                <w:szCs w:val="18"/>
              </w:rPr>
              <w:t>Specify the methods used to assess risk of bias in the included studies.</w:t>
            </w:r>
          </w:p>
        </w:tc>
        <w:tc>
          <w:tcPr>
            <w:tcBorders>
              <w:right w:val="single" w:color="000000" w:sz="8" w:space="0"/>
            </w:tcBorders>
            <w:shd w:val="clear" w:color="auto" w:fill="FFFFFF"/>
            <w:tcMar>
              <w:top w:w="0" w:type="dxa"/>
              <w:left w:w="0" w:type="dxa"/>
              <w:bottom w:w="0" w:type="dxa"/>
              <w:right w:w="0" w:type="dxa"/>
            </w:tcMar>
            <w:vAlign w:val="top"/>
          </w:tcPr>
          <w:p w14:paraId="4C98BE09">
            <w:pPr>
              <w:spacing w:before="100" w:after="100" w:line="240" w:lineRule="auto"/>
              <w:ind w:left="100" w:right="100" w:firstLine="0"/>
              <w:jc w:val="center"/>
            </w:pPr>
            <w:r>
              <w:rPr>
                <w:rFonts w:ascii="DejaVu Sans" w:hAnsi="DejaVu Sans" w:eastAsia="DejaVu Sans" w:cs="DejaVu Sans"/>
                <w:color w:val="000000"/>
                <w:sz w:val="18"/>
                <w:szCs w:val="18"/>
              </w:rPr>
              <w:t>Yes</w:t>
            </w:r>
          </w:p>
        </w:tc>
      </w:tr>
      <w:tr w14:paraId="796039D4">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59A1FEDC">
            <w:pPr>
              <w:spacing w:before="100" w:after="100" w:line="240" w:lineRule="auto"/>
              <w:ind w:left="100" w:right="100" w:firstLine="0"/>
              <w:jc w:val="left"/>
            </w:pPr>
            <w:r>
              <w:rPr>
                <w:rFonts w:ascii="DejaVu Sans" w:hAnsi="DejaVu Sans" w:eastAsia="DejaVu Sans" w:cs="DejaVu Sans"/>
                <w:b/>
                <w:color w:val="000000"/>
                <w:sz w:val="18"/>
                <w:szCs w:val="18"/>
              </w:rPr>
              <w:t>Synthesis of results</w:t>
            </w:r>
          </w:p>
        </w:tc>
        <w:tc>
          <w:tcPr>
            <w:shd w:val="clear" w:color="auto" w:fill="FFFFFF"/>
            <w:tcMar>
              <w:top w:w="0" w:type="dxa"/>
              <w:left w:w="0" w:type="dxa"/>
              <w:bottom w:w="0" w:type="dxa"/>
              <w:right w:w="0" w:type="dxa"/>
            </w:tcMar>
            <w:vAlign w:val="top"/>
          </w:tcPr>
          <w:p w14:paraId="049DA4D5">
            <w:pPr>
              <w:spacing w:before="100" w:after="100" w:line="240" w:lineRule="auto"/>
              <w:ind w:left="100" w:right="100" w:firstLine="0"/>
              <w:jc w:val="center"/>
            </w:pPr>
            <w:r>
              <w:rPr>
                <w:rFonts w:ascii="DejaVu Sans" w:hAnsi="DejaVu Sans" w:eastAsia="DejaVu Sans" w:cs="DejaVu Sans"/>
                <w:color w:val="000000"/>
                <w:sz w:val="18"/>
                <w:szCs w:val="18"/>
              </w:rPr>
              <w:t>6</w:t>
            </w:r>
          </w:p>
        </w:tc>
        <w:tc>
          <w:tcPr>
            <w:shd w:val="clear" w:color="auto" w:fill="FFFFFF"/>
            <w:tcMar>
              <w:top w:w="0" w:type="dxa"/>
              <w:left w:w="0" w:type="dxa"/>
              <w:bottom w:w="0" w:type="dxa"/>
              <w:right w:w="0" w:type="dxa"/>
            </w:tcMar>
            <w:vAlign w:val="top"/>
          </w:tcPr>
          <w:p w14:paraId="582356D2">
            <w:pPr>
              <w:spacing w:before="100" w:after="100" w:line="240" w:lineRule="auto"/>
              <w:ind w:left="100" w:right="100" w:firstLine="0"/>
              <w:jc w:val="left"/>
            </w:pPr>
            <w:r>
              <w:rPr>
                <w:rFonts w:ascii="DejaVu Sans" w:hAnsi="DejaVu Sans" w:eastAsia="DejaVu Sans" w:cs="DejaVu Sans"/>
                <w:color w:val="000000"/>
                <w:sz w:val="18"/>
                <w:szCs w:val="18"/>
              </w:rPr>
              <w:t xml:space="preserve">Specify the methods used to present and synthesize results. </w:t>
            </w:r>
          </w:p>
        </w:tc>
        <w:tc>
          <w:tcPr>
            <w:tcBorders>
              <w:right w:val="single" w:color="000000" w:sz="8" w:space="0"/>
            </w:tcBorders>
            <w:shd w:val="clear" w:color="auto" w:fill="FFFFFF"/>
            <w:tcMar>
              <w:top w:w="0" w:type="dxa"/>
              <w:left w:w="0" w:type="dxa"/>
              <w:bottom w:w="0" w:type="dxa"/>
              <w:right w:w="0" w:type="dxa"/>
            </w:tcMar>
            <w:vAlign w:val="top"/>
          </w:tcPr>
          <w:p w14:paraId="5C098C70">
            <w:pPr>
              <w:spacing w:before="100" w:after="100" w:line="240" w:lineRule="auto"/>
              <w:ind w:left="100" w:right="100" w:firstLine="0"/>
              <w:jc w:val="center"/>
            </w:pPr>
            <w:r>
              <w:rPr>
                <w:rFonts w:ascii="DejaVu Sans" w:hAnsi="DejaVu Sans" w:eastAsia="DejaVu Sans" w:cs="DejaVu Sans"/>
                <w:color w:val="000000"/>
                <w:sz w:val="18"/>
                <w:szCs w:val="18"/>
              </w:rPr>
              <w:t>Yes</w:t>
            </w:r>
          </w:p>
        </w:tc>
      </w:tr>
      <w:tr w14:paraId="17D15D0B">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CC"/>
            <w:tcMar>
              <w:top w:w="0" w:type="dxa"/>
              <w:left w:w="0" w:type="dxa"/>
              <w:bottom w:w="0" w:type="dxa"/>
              <w:right w:w="0" w:type="dxa"/>
            </w:tcMar>
            <w:vAlign w:val="top"/>
          </w:tcPr>
          <w:p w14:paraId="09C95DE5">
            <w:pPr>
              <w:spacing w:before="100" w:after="100" w:line="240" w:lineRule="auto"/>
              <w:ind w:left="100" w:right="100" w:firstLine="0"/>
              <w:jc w:val="left"/>
            </w:pPr>
            <w:r>
              <w:rPr>
                <w:rFonts w:ascii="DejaVu Sans" w:hAnsi="DejaVu Sans" w:eastAsia="DejaVu Sans" w:cs="DejaVu Sans"/>
                <w:b/>
                <w:color w:val="000000"/>
                <w:sz w:val="18"/>
                <w:szCs w:val="18"/>
              </w:rPr>
              <w:t>RESULTS</w:t>
            </w:r>
          </w:p>
        </w:tc>
        <w:tc>
          <w:tcPr>
            <w:shd w:val="clear" w:color="auto" w:fill="FFFFCC"/>
            <w:tcMar>
              <w:top w:w="0" w:type="dxa"/>
              <w:left w:w="0" w:type="dxa"/>
              <w:bottom w:w="0" w:type="dxa"/>
              <w:right w:w="0" w:type="dxa"/>
            </w:tcMar>
            <w:vAlign w:val="top"/>
          </w:tcPr>
          <w:p w14:paraId="5E908C75">
            <w:pPr>
              <w:spacing w:before="100" w:after="100" w:line="240" w:lineRule="auto"/>
              <w:ind w:left="100" w:right="100" w:firstLine="0"/>
              <w:jc w:val="center"/>
            </w:pPr>
          </w:p>
        </w:tc>
        <w:tc>
          <w:tcPr>
            <w:shd w:val="clear" w:color="auto" w:fill="FFFFCC"/>
            <w:tcMar>
              <w:top w:w="0" w:type="dxa"/>
              <w:left w:w="0" w:type="dxa"/>
              <w:bottom w:w="0" w:type="dxa"/>
              <w:right w:w="0" w:type="dxa"/>
            </w:tcMar>
            <w:vAlign w:val="top"/>
          </w:tcPr>
          <w:p w14:paraId="578E2CC5">
            <w:pPr>
              <w:spacing w:before="100" w:after="100" w:line="240" w:lineRule="auto"/>
              <w:ind w:left="100" w:right="100" w:firstLine="0"/>
              <w:jc w:val="left"/>
            </w:pPr>
          </w:p>
        </w:tc>
        <w:tc>
          <w:tcPr>
            <w:tcBorders>
              <w:right w:val="single" w:color="000000" w:sz="8" w:space="0"/>
            </w:tcBorders>
            <w:shd w:val="clear" w:color="auto" w:fill="FFFFCC"/>
            <w:tcMar>
              <w:top w:w="0" w:type="dxa"/>
              <w:left w:w="0" w:type="dxa"/>
              <w:bottom w:w="0" w:type="dxa"/>
              <w:right w:w="0" w:type="dxa"/>
            </w:tcMar>
            <w:vAlign w:val="top"/>
          </w:tcPr>
          <w:p w14:paraId="7DB6B144">
            <w:pPr>
              <w:spacing w:before="100" w:after="100" w:line="240" w:lineRule="auto"/>
              <w:ind w:left="100" w:right="100" w:firstLine="0"/>
              <w:jc w:val="center"/>
            </w:pPr>
          </w:p>
        </w:tc>
      </w:tr>
      <w:tr w14:paraId="25A4B180">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6730E033">
            <w:pPr>
              <w:spacing w:before="100" w:after="100" w:line="240" w:lineRule="auto"/>
              <w:ind w:left="100" w:right="100" w:firstLine="0"/>
              <w:jc w:val="left"/>
            </w:pPr>
            <w:r>
              <w:rPr>
                <w:rFonts w:ascii="DejaVu Sans" w:hAnsi="DejaVu Sans" w:eastAsia="DejaVu Sans" w:cs="DejaVu Sans"/>
                <w:b/>
                <w:color w:val="000000"/>
                <w:sz w:val="18"/>
                <w:szCs w:val="18"/>
              </w:rPr>
              <w:t>Included studies</w:t>
            </w:r>
          </w:p>
        </w:tc>
        <w:tc>
          <w:tcPr>
            <w:shd w:val="clear" w:color="auto" w:fill="FFFFFF"/>
            <w:tcMar>
              <w:top w:w="0" w:type="dxa"/>
              <w:left w:w="0" w:type="dxa"/>
              <w:bottom w:w="0" w:type="dxa"/>
              <w:right w:w="0" w:type="dxa"/>
            </w:tcMar>
            <w:vAlign w:val="top"/>
          </w:tcPr>
          <w:p w14:paraId="5A017B1E">
            <w:pPr>
              <w:spacing w:before="100" w:after="100" w:line="240" w:lineRule="auto"/>
              <w:ind w:left="100" w:right="100" w:firstLine="0"/>
              <w:jc w:val="center"/>
            </w:pPr>
            <w:r>
              <w:rPr>
                <w:rFonts w:ascii="DejaVu Sans" w:hAnsi="DejaVu Sans" w:eastAsia="DejaVu Sans" w:cs="DejaVu Sans"/>
                <w:color w:val="000000"/>
                <w:sz w:val="18"/>
                <w:szCs w:val="18"/>
              </w:rPr>
              <w:t>7</w:t>
            </w:r>
          </w:p>
        </w:tc>
        <w:tc>
          <w:tcPr>
            <w:shd w:val="clear" w:color="auto" w:fill="FFFFFF"/>
            <w:tcMar>
              <w:top w:w="0" w:type="dxa"/>
              <w:left w:w="0" w:type="dxa"/>
              <w:bottom w:w="0" w:type="dxa"/>
              <w:right w:w="0" w:type="dxa"/>
            </w:tcMar>
            <w:vAlign w:val="top"/>
          </w:tcPr>
          <w:p w14:paraId="4FAC1CC7">
            <w:pPr>
              <w:spacing w:before="100" w:after="100" w:line="240" w:lineRule="auto"/>
              <w:ind w:left="100" w:right="100" w:firstLine="0"/>
              <w:jc w:val="left"/>
            </w:pPr>
            <w:r>
              <w:rPr>
                <w:rFonts w:ascii="DejaVu Sans" w:hAnsi="DejaVu Sans" w:eastAsia="DejaVu Sans" w:cs="DejaVu Sans"/>
                <w:color w:val="000000"/>
                <w:sz w:val="18"/>
                <w:szCs w:val="18"/>
              </w:rPr>
              <w:t>Give the total number of included studies and participants and summarise relevant characteristics of studies.</w:t>
            </w:r>
          </w:p>
        </w:tc>
        <w:tc>
          <w:tcPr>
            <w:tcBorders>
              <w:right w:val="single" w:color="000000" w:sz="8" w:space="0"/>
            </w:tcBorders>
            <w:shd w:val="clear" w:color="auto" w:fill="FFFFFF"/>
            <w:tcMar>
              <w:top w:w="0" w:type="dxa"/>
              <w:left w:w="0" w:type="dxa"/>
              <w:bottom w:w="0" w:type="dxa"/>
              <w:right w:w="0" w:type="dxa"/>
            </w:tcMar>
            <w:vAlign w:val="top"/>
          </w:tcPr>
          <w:p w14:paraId="4C6404B9">
            <w:pPr>
              <w:spacing w:before="100" w:after="100" w:line="240" w:lineRule="auto"/>
              <w:ind w:left="100" w:right="100" w:firstLine="0"/>
              <w:jc w:val="center"/>
            </w:pPr>
            <w:r>
              <w:rPr>
                <w:rFonts w:ascii="DejaVu Sans" w:hAnsi="DejaVu Sans" w:eastAsia="DejaVu Sans" w:cs="DejaVu Sans"/>
                <w:color w:val="000000"/>
                <w:sz w:val="18"/>
                <w:szCs w:val="18"/>
              </w:rPr>
              <w:t>Yes</w:t>
            </w:r>
          </w:p>
        </w:tc>
      </w:tr>
      <w:tr w14:paraId="57FD653C">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07E48DDF">
            <w:pPr>
              <w:spacing w:before="100" w:after="100" w:line="240" w:lineRule="auto"/>
              <w:ind w:left="100" w:right="100" w:firstLine="0"/>
              <w:jc w:val="left"/>
            </w:pPr>
            <w:r>
              <w:rPr>
                <w:rFonts w:ascii="DejaVu Sans" w:hAnsi="DejaVu Sans" w:eastAsia="DejaVu Sans" w:cs="DejaVu Sans"/>
                <w:b/>
                <w:color w:val="000000"/>
                <w:sz w:val="18"/>
                <w:szCs w:val="18"/>
              </w:rPr>
              <w:t>Synthesis of results</w:t>
            </w:r>
          </w:p>
        </w:tc>
        <w:tc>
          <w:tcPr>
            <w:shd w:val="clear" w:color="auto" w:fill="FFFFFF"/>
            <w:tcMar>
              <w:top w:w="0" w:type="dxa"/>
              <w:left w:w="0" w:type="dxa"/>
              <w:bottom w:w="0" w:type="dxa"/>
              <w:right w:w="0" w:type="dxa"/>
            </w:tcMar>
            <w:vAlign w:val="top"/>
          </w:tcPr>
          <w:p w14:paraId="1D60B89A">
            <w:pPr>
              <w:spacing w:before="100" w:after="100" w:line="240" w:lineRule="auto"/>
              <w:ind w:left="100" w:right="100" w:firstLine="0"/>
              <w:jc w:val="center"/>
            </w:pPr>
            <w:r>
              <w:rPr>
                <w:rFonts w:ascii="DejaVu Sans" w:hAnsi="DejaVu Sans" w:eastAsia="DejaVu Sans" w:cs="DejaVu Sans"/>
                <w:color w:val="000000"/>
                <w:sz w:val="18"/>
                <w:szCs w:val="18"/>
              </w:rPr>
              <w:t>8</w:t>
            </w:r>
          </w:p>
        </w:tc>
        <w:tc>
          <w:tcPr>
            <w:shd w:val="clear" w:color="auto" w:fill="FFFFFF"/>
            <w:tcMar>
              <w:top w:w="0" w:type="dxa"/>
              <w:left w:w="0" w:type="dxa"/>
              <w:bottom w:w="0" w:type="dxa"/>
              <w:right w:w="0" w:type="dxa"/>
            </w:tcMar>
            <w:vAlign w:val="top"/>
          </w:tcPr>
          <w:p w14:paraId="597B76A5">
            <w:pPr>
              <w:spacing w:before="100" w:after="100" w:line="240" w:lineRule="auto"/>
              <w:ind w:left="100" w:right="100" w:firstLine="0"/>
              <w:jc w:val="left"/>
            </w:pPr>
            <w:r>
              <w:rPr>
                <w:rFonts w:ascii="DejaVu Sans" w:hAnsi="DejaVu Sans" w:eastAsia="DejaVu Sans" w:cs="DejaVu Sans"/>
                <w:color w:val="000000"/>
                <w:sz w:val="18"/>
                <w:szCs w:val="18"/>
              </w:rPr>
              <w:t>Present results for main outcomes, preferably indicating the number of included studies and participants for each. If meta-analysis was done, report the summary estimate and confidence/credible interval. If comparing groups, indicate the direction of the effect (i.e. which group is favoured).</w:t>
            </w:r>
          </w:p>
        </w:tc>
        <w:tc>
          <w:tcPr>
            <w:tcBorders>
              <w:right w:val="single" w:color="000000" w:sz="8" w:space="0"/>
            </w:tcBorders>
            <w:shd w:val="clear" w:color="auto" w:fill="FFFFFF"/>
            <w:tcMar>
              <w:top w:w="0" w:type="dxa"/>
              <w:left w:w="0" w:type="dxa"/>
              <w:bottom w:w="0" w:type="dxa"/>
              <w:right w:w="0" w:type="dxa"/>
            </w:tcMar>
            <w:vAlign w:val="top"/>
          </w:tcPr>
          <w:p w14:paraId="10A05404">
            <w:pPr>
              <w:spacing w:before="100" w:after="100" w:line="240" w:lineRule="auto"/>
              <w:ind w:left="100" w:right="100" w:firstLine="0"/>
              <w:jc w:val="center"/>
            </w:pPr>
            <w:r>
              <w:rPr>
                <w:rFonts w:ascii="DejaVu Sans" w:hAnsi="DejaVu Sans" w:eastAsia="DejaVu Sans" w:cs="DejaVu Sans"/>
                <w:color w:val="000000"/>
                <w:sz w:val="18"/>
                <w:szCs w:val="18"/>
              </w:rPr>
              <w:t>Yes</w:t>
            </w:r>
          </w:p>
        </w:tc>
      </w:tr>
      <w:tr w14:paraId="0717504F">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CC"/>
            <w:tcMar>
              <w:top w:w="0" w:type="dxa"/>
              <w:left w:w="0" w:type="dxa"/>
              <w:bottom w:w="0" w:type="dxa"/>
              <w:right w:w="0" w:type="dxa"/>
            </w:tcMar>
            <w:vAlign w:val="top"/>
          </w:tcPr>
          <w:p w14:paraId="63C7F113">
            <w:pPr>
              <w:spacing w:before="100" w:after="100" w:line="240" w:lineRule="auto"/>
              <w:ind w:left="100" w:right="100" w:firstLine="0"/>
              <w:jc w:val="left"/>
            </w:pPr>
            <w:r>
              <w:rPr>
                <w:rFonts w:ascii="DejaVu Sans" w:hAnsi="DejaVu Sans" w:eastAsia="DejaVu Sans" w:cs="DejaVu Sans"/>
                <w:b/>
                <w:color w:val="000000"/>
                <w:sz w:val="18"/>
                <w:szCs w:val="18"/>
              </w:rPr>
              <w:t>DISCUSSION</w:t>
            </w:r>
          </w:p>
        </w:tc>
        <w:tc>
          <w:tcPr>
            <w:shd w:val="clear" w:color="auto" w:fill="FFFFCC"/>
            <w:tcMar>
              <w:top w:w="0" w:type="dxa"/>
              <w:left w:w="0" w:type="dxa"/>
              <w:bottom w:w="0" w:type="dxa"/>
              <w:right w:w="0" w:type="dxa"/>
            </w:tcMar>
            <w:vAlign w:val="top"/>
          </w:tcPr>
          <w:p w14:paraId="6FCDFE49">
            <w:pPr>
              <w:spacing w:before="100" w:after="100" w:line="240" w:lineRule="auto"/>
              <w:ind w:left="100" w:right="100" w:firstLine="0"/>
              <w:jc w:val="center"/>
            </w:pPr>
          </w:p>
        </w:tc>
        <w:tc>
          <w:tcPr>
            <w:shd w:val="clear" w:color="auto" w:fill="FFFFCC"/>
            <w:tcMar>
              <w:top w:w="0" w:type="dxa"/>
              <w:left w:w="0" w:type="dxa"/>
              <w:bottom w:w="0" w:type="dxa"/>
              <w:right w:w="0" w:type="dxa"/>
            </w:tcMar>
            <w:vAlign w:val="top"/>
          </w:tcPr>
          <w:p w14:paraId="0DADC0FD">
            <w:pPr>
              <w:spacing w:before="100" w:after="100" w:line="240" w:lineRule="auto"/>
              <w:ind w:left="100" w:right="100" w:firstLine="0"/>
              <w:jc w:val="left"/>
            </w:pPr>
          </w:p>
        </w:tc>
        <w:tc>
          <w:tcPr>
            <w:tcBorders>
              <w:right w:val="single" w:color="000000" w:sz="8" w:space="0"/>
            </w:tcBorders>
            <w:shd w:val="clear" w:color="auto" w:fill="FFFFCC"/>
            <w:tcMar>
              <w:top w:w="0" w:type="dxa"/>
              <w:left w:w="0" w:type="dxa"/>
              <w:bottom w:w="0" w:type="dxa"/>
              <w:right w:w="0" w:type="dxa"/>
            </w:tcMar>
            <w:vAlign w:val="top"/>
          </w:tcPr>
          <w:p w14:paraId="3D7F339C">
            <w:pPr>
              <w:spacing w:before="100" w:after="100" w:line="240" w:lineRule="auto"/>
              <w:ind w:left="100" w:right="100" w:firstLine="0"/>
              <w:jc w:val="center"/>
            </w:pPr>
          </w:p>
        </w:tc>
      </w:tr>
      <w:tr w14:paraId="646A1E56">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62DD71F4">
            <w:pPr>
              <w:spacing w:before="100" w:after="100" w:line="240" w:lineRule="auto"/>
              <w:ind w:left="100" w:right="100" w:firstLine="0"/>
              <w:jc w:val="left"/>
            </w:pPr>
            <w:r>
              <w:rPr>
                <w:rFonts w:ascii="DejaVu Sans" w:hAnsi="DejaVu Sans" w:eastAsia="DejaVu Sans" w:cs="DejaVu Sans"/>
                <w:b/>
                <w:color w:val="000000"/>
                <w:sz w:val="18"/>
                <w:szCs w:val="18"/>
              </w:rPr>
              <w:t>Limitations of evidence</w:t>
            </w:r>
          </w:p>
        </w:tc>
        <w:tc>
          <w:tcPr>
            <w:shd w:val="clear" w:color="auto" w:fill="FFFFFF"/>
            <w:tcMar>
              <w:top w:w="0" w:type="dxa"/>
              <w:left w:w="0" w:type="dxa"/>
              <w:bottom w:w="0" w:type="dxa"/>
              <w:right w:w="0" w:type="dxa"/>
            </w:tcMar>
            <w:vAlign w:val="top"/>
          </w:tcPr>
          <w:p w14:paraId="69FA1D3F">
            <w:pPr>
              <w:spacing w:before="100" w:after="100" w:line="240" w:lineRule="auto"/>
              <w:ind w:left="100" w:right="100" w:firstLine="0"/>
              <w:jc w:val="center"/>
            </w:pPr>
            <w:r>
              <w:rPr>
                <w:rFonts w:ascii="DejaVu Sans" w:hAnsi="DejaVu Sans" w:eastAsia="DejaVu Sans" w:cs="DejaVu Sans"/>
                <w:color w:val="000000"/>
                <w:sz w:val="18"/>
                <w:szCs w:val="18"/>
              </w:rPr>
              <w:t>9</w:t>
            </w:r>
          </w:p>
        </w:tc>
        <w:tc>
          <w:tcPr>
            <w:shd w:val="clear" w:color="auto" w:fill="FFFFFF"/>
            <w:tcMar>
              <w:top w:w="0" w:type="dxa"/>
              <w:left w:w="0" w:type="dxa"/>
              <w:bottom w:w="0" w:type="dxa"/>
              <w:right w:w="0" w:type="dxa"/>
            </w:tcMar>
            <w:vAlign w:val="top"/>
          </w:tcPr>
          <w:p w14:paraId="361BBE07">
            <w:pPr>
              <w:spacing w:before="100" w:after="100" w:line="240" w:lineRule="auto"/>
              <w:ind w:left="100" w:right="100" w:firstLine="0"/>
              <w:jc w:val="left"/>
            </w:pPr>
            <w:r>
              <w:rPr>
                <w:rFonts w:ascii="DejaVu Sans" w:hAnsi="DejaVu Sans" w:eastAsia="DejaVu Sans" w:cs="DejaVu Sans"/>
                <w:color w:val="000000"/>
                <w:sz w:val="18"/>
                <w:szCs w:val="18"/>
              </w:rPr>
              <w:t>Provide a brief summary of the limitations of the evidence included in the review (e.g. study risk of bias, inconsistency and imprecision).</w:t>
            </w:r>
          </w:p>
        </w:tc>
        <w:tc>
          <w:tcPr>
            <w:tcBorders>
              <w:right w:val="single" w:color="000000" w:sz="8" w:space="0"/>
            </w:tcBorders>
            <w:shd w:val="clear" w:color="auto" w:fill="FFFFFF"/>
            <w:tcMar>
              <w:top w:w="0" w:type="dxa"/>
              <w:left w:w="0" w:type="dxa"/>
              <w:bottom w:w="0" w:type="dxa"/>
              <w:right w:w="0" w:type="dxa"/>
            </w:tcMar>
            <w:vAlign w:val="top"/>
          </w:tcPr>
          <w:p w14:paraId="1A30CBE0">
            <w:pPr>
              <w:spacing w:before="100" w:after="100" w:line="240" w:lineRule="auto"/>
              <w:ind w:left="100" w:right="100" w:firstLine="0"/>
              <w:jc w:val="center"/>
            </w:pPr>
            <w:r>
              <w:rPr>
                <w:rFonts w:ascii="DejaVu Sans" w:hAnsi="DejaVu Sans" w:eastAsia="DejaVu Sans" w:cs="DejaVu Sans"/>
                <w:color w:val="000000"/>
                <w:sz w:val="18"/>
                <w:szCs w:val="18"/>
              </w:rPr>
              <w:t>Yes</w:t>
            </w:r>
          </w:p>
        </w:tc>
      </w:tr>
      <w:tr w14:paraId="4C13327C">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0110054E">
            <w:pPr>
              <w:spacing w:before="100" w:after="100" w:line="240" w:lineRule="auto"/>
              <w:ind w:left="100" w:right="100" w:firstLine="0"/>
              <w:jc w:val="left"/>
            </w:pPr>
            <w:r>
              <w:rPr>
                <w:rFonts w:ascii="DejaVu Sans" w:hAnsi="DejaVu Sans" w:eastAsia="DejaVu Sans" w:cs="DejaVu Sans"/>
                <w:b/>
                <w:color w:val="000000"/>
                <w:sz w:val="18"/>
                <w:szCs w:val="18"/>
              </w:rPr>
              <w:t>Interpretation</w:t>
            </w:r>
          </w:p>
        </w:tc>
        <w:tc>
          <w:tcPr>
            <w:shd w:val="clear" w:color="auto" w:fill="FFFFFF"/>
            <w:tcMar>
              <w:top w:w="0" w:type="dxa"/>
              <w:left w:w="0" w:type="dxa"/>
              <w:bottom w:w="0" w:type="dxa"/>
              <w:right w:w="0" w:type="dxa"/>
            </w:tcMar>
            <w:vAlign w:val="top"/>
          </w:tcPr>
          <w:p w14:paraId="713755BB">
            <w:pPr>
              <w:spacing w:before="100" w:after="100" w:line="240" w:lineRule="auto"/>
              <w:ind w:left="100" w:right="100" w:firstLine="0"/>
              <w:jc w:val="center"/>
            </w:pPr>
            <w:r>
              <w:rPr>
                <w:rFonts w:ascii="DejaVu Sans" w:hAnsi="DejaVu Sans" w:eastAsia="DejaVu Sans" w:cs="DejaVu Sans"/>
                <w:color w:val="000000"/>
                <w:sz w:val="18"/>
                <w:szCs w:val="18"/>
              </w:rPr>
              <w:t>10</w:t>
            </w:r>
          </w:p>
        </w:tc>
        <w:tc>
          <w:tcPr>
            <w:shd w:val="clear" w:color="auto" w:fill="FFFFFF"/>
            <w:tcMar>
              <w:top w:w="0" w:type="dxa"/>
              <w:left w:w="0" w:type="dxa"/>
              <w:bottom w:w="0" w:type="dxa"/>
              <w:right w:w="0" w:type="dxa"/>
            </w:tcMar>
            <w:vAlign w:val="top"/>
          </w:tcPr>
          <w:p w14:paraId="721DE975">
            <w:pPr>
              <w:spacing w:before="100" w:after="100" w:line="240" w:lineRule="auto"/>
              <w:ind w:left="100" w:right="100" w:firstLine="0"/>
              <w:jc w:val="left"/>
            </w:pPr>
            <w:r>
              <w:rPr>
                <w:rFonts w:ascii="DejaVu Sans" w:hAnsi="DejaVu Sans" w:eastAsia="DejaVu Sans" w:cs="DejaVu Sans"/>
                <w:color w:val="000000"/>
                <w:sz w:val="18"/>
                <w:szCs w:val="18"/>
              </w:rPr>
              <w:t>Provide a general interpretation of the results and important implications.</w:t>
            </w:r>
          </w:p>
        </w:tc>
        <w:tc>
          <w:tcPr>
            <w:tcBorders>
              <w:right w:val="single" w:color="000000" w:sz="8" w:space="0"/>
            </w:tcBorders>
            <w:shd w:val="clear" w:color="auto" w:fill="FFFFFF"/>
            <w:tcMar>
              <w:top w:w="0" w:type="dxa"/>
              <w:left w:w="0" w:type="dxa"/>
              <w:bottom w:w="0" w:type="dxa"/>
              <w:right w:w="0" w:type="dxa"/>
            </w:tcMar>
            <w:vAlign w:val="top"/>
          </w:tcPr>
          <w:p w14:paraId="066B7610">
            <w:pPr>
              <w:spacing w:before="100" w:after="100" w:line="240" w:lineRule="auto"/>
              <w:ind w:left="100" w:right="100" w:firstLine="0"/>
              <w:jc w:val="center"/>
            </w:pPr>
            <w:r>
              <w:rPr>
                <w:rFonts w:ascii="DejaVu Sans" w:hAnsi="DejaVu Sans" w:eastAsia="DejaVu Sans" w:cs="DejaVu Sans"/>
                <w:color w:val="000000"/>
                <w:sz w:val="18"/>
                <w:szCs w:val="18"/>
              </w:rPr>
              <w:t>Yes</w:t>
            </w:r>
          </w:p>
        </w:tc>
      </w:tr>
      <w:tr w14:paraId="46B8A28A">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CC"/>
            <w:tcMar>
              <w:top w:w="0" w:type="dxa"/>
              <w:left w:w="0" w:type="dxa"/>
              <w:bottom w:w="0" w:type="dxa"/>
              <w:right w:w="0" w:type="dxa"/>
            </w:tcMar>
            <w:vAlign w:val="top"/>
          </w:tcPr>
          <w:p w14:paraId="6A663B39">
            <w:pPr>
              <w:spacing w:before="100" w:after="100" w:line="240" w:lineRule="auto"/>
              <w:ind w:left="100" w:right="100" w:firstLine="0"/>
              <w:jc w:val="left"/>
            </w:pPr>
            <w:r>
              <w:rPr>
                <w:rFonts w:ascii="DejaVu Sans" w:hAnsi="DejaVu Sans" w:eastAsia="DejaVu Sans" w:cs="DejaVu Sans"/>
                <w:b/>
                <w:color w:val="000000"/>
                <w:sz w:val="18"/>
                <w:szCs w:val="18"/>
              </w:rPr>
              <w:t>OTHER</w:t>
            </w:r>
          </w:p>
        </w:tc>
        <w:tc>
          <w:tcPr>
            <w:shd w:val="clear" w:color="auto" w:fill="FFFFCC"/>
            <w:tcMar>
              <w:top w:w="0" w:type="dxa"/>
              <w:left w:w="0" w:type="dxa"/>
              <w:bottom w:w="0" w:type="dxa"/>
              <w:right w:w="0" w:type="dxa"/>
            </w:tcMar>
            <w:vAlign w:val="top"/>
          </w:tcPr>
          <w:p w14:paraId="48991A0D">
            <w:pPr>
              <w:spacing w:before="100" w:after="100" w:line="240" w:lineRule="auto"/>
              <w:ind w:left="100" w:right="100" w:firstLine="0"/>
              <w:jc w:val="center"/>
            </w:pPr>
          </w:p>
        </w:tc>
        <w:tc>
          <w:tcPr>
            <w:shd w:val="clear" w:color="auto" w:fill="FFFFCC"/>
            <w:tcMar>
              <w:top w:w="0" w:type="dxa"/>
              <w:left w:w="0" w:type="dxa"/>
              <w:bottom w:w="0" w:type="dxa"/>
              <w:right w:w="0" w:type="dxa"/>
            </w:tcMar>
            <w:vAlign w:val="top"/>
          </w:tcPr>
          <w:p w14:paraId="3E44660B">
            <w:pPr>
              <w:spacing w:before="100" w:after="100" w:line="240" w:lineRule="auto"/>
              <w:ind w:left="100" w:right="100" w:firstLine="0"/>
              <w:jc w:val="left"/>
            </w:pPr>
          </w:p>
        </w:tc>
        <w:tc>
          <w:tcPr>
            <w:tcBorders>
              <w:right w:val="single" w:color="000000" w:sz="8" w:space="0"/>
            </w:tcBorders>
            <w:shd w:val="clear" w:color="auto" w:fill="FFFFCC"/>
            <w:tcMar>
              <w:top w:w="0" w:type="dxa"/>
              <w:left w:w="0" w:type="dxa"/>
              <w:bottom w:w="0" w:type="dxa"/>
              <w:right w:w="0" w:type="dxa"/>
            </w:tcMar>
            <w:vAlign w:val="top"/>
          </w:tcPr>
          <w:p w14:paraId="54953363">
            <w:pPr>
              <w:spacing w:before="100" w:after="100" w:line="240" w:lineRule="auto"/>
              <w:ind w:left="100" w:right="100" w:firstLine="0"/>
              <w:jc w:val="center"/>
            </w:pPr>
          </w:p>
        </w:tc>
      </w:tr>
      <w:tr w14:paraId="36518F26">
        <w:tblPrEx>
          <w:tblCellMar>
            <w:top w:w="0" w:type="dxa"/>
            <w:left w:w="108" w:type="dxa"/>
            <w:bottom w:w="0" w:type="dxa"/>
            <w:right w:w="108" w:type="dxa"/>
          </w:tblCellMar>
        </w:tblPrEx>
        <w:trPr>
          <w:cantSplit/>
          <w:trHeight w:val="0" w:hRule="atLeast"/>
          <w:jc w:val="center"/>
        </w:trPr>
        <w:tc>
          <w:tcPr>
            <w:tcBorders>
              <w:left w:val="single" w:color="000000" w:sz="8" w:space="0"/>
            </w:tcBorders>
            <w:shd w:val="clear" w:color="auto" w:fill="FFFFFF"/>
            <w:tcMar>
              <w:top w:w="0" w:type="dxa"/>
              <w:left w:w="0" w:type="dxa"/>
              <w:bottom w:w="0" w:type="dxa"/>
              <w:right w:w="0" w:type="dxa"/>
            </w:tcMar>
            <w:vAlign w:val="top"/>
          </w:tcPr>
          <w:p w14:paraId="3F22C1D0">
            <w:pPr>
              <w:spacing w:before="100" w:after="100" w:line="240" w:lineRule="auto"/>
              <w:ind w:left="100" w:right="100" w:firstLine="0"/>
              <w:jc w:val="left"/>
            </w:pPr>
            <w:r>
              <w:rPr>
                <w:rFonts w:ascii="DejaVu Sans" w:hAnsi="DejaVu Sans" w:eastAsia="DejaVu Sans" w:cs="DejaVu Sans"/>
                <w:b/>
                <w:color w:val="000000"/>
                <w:sz w:val="18"/>
                <w:szCs w:val="18"/>
              </w:rPr>
              <w:t>Funding</w:t>
            </w:r>
          </w:p>
        </w:tc>
        <w:tc>
          <w:tcPr>
            <w:shd w:val="clear" w:color="auto" w:fill="FFFFFF"/>
            <w:tcMar>
              <w:top w:w="0" w:type="dxa"/>
              <w:left w:w="0" w:type="dxa"/>
              <w:bottom w:w="0" w:type="dxa"/>
              <w:right w:w="0" w:type="dxa"/>
            </w:tcMar>
            <w:vAlign w:val="top"/>
          </w:tcPr>
          <w:p w14:paraId="24976B4B">
            <w:pPr>
              <w:spacing w:before="100" w:after="100" w:line="240" w:lineRule="auto"/>
              <w:ind w:left="100" w:right="100" w:firstLine="0"/>
              <w:jc w:val="center"/>
            </w:pPr>
            <w:r>
              <w:rPr>
                <w:rFonts w:ascii="DejaVu Sans" w:hAnsi="DejaVu Sans" w:eastAsia="DejaVu Sans" w:cs="DejaVu Sans"/>
                <w:color w:val="000000"/>
                <w:sz w:val="18"/>
                <w:szCs w:val="18"/>
              </w:rPr>
              <w:t>11</w:t>
            </w:r>
          </w:p>
        </w:tc>
        <w:tc>
          <w:tcPr>
            <w:shd w:val="clear" w:color="auto" w:fill="FFFFFF"/>
            <w:tcMar>
              <w:top w:w="0" w:type="dxa"/>
              <w:left w:w="0" w:type="dxa"/>
              <w:bottom w:w="0" w:type="dxa"/>
              <w:right w:w="0" w:type="dxa"/>
            </w:tcMar>
            <w:vAlign w:val="top"/>
          </w:tcPr>
          <w:p w14:paraId="7E2C89F1">
            <w:pPr>
              <w:spacing w:before="100" w:after="100" w:line="240" w:lineRule="auto"/>
              <w:ind w:left="100" w:right="100" w:firstLine="0"/>
              <w:jc w:val="left"/>
            </w:pPr>
            <w:r>
              <w:rPr>
                <w:rFonts w:ascii="DejaVu Sans" w:hAnsi="DejaVu Sans" w:eastAsia="DejaVu Sans" w:cs="DejaVu Sans"/>
                <w:color w:val="000000"/>
                <w:sz w:val="18"/>
                <w:szCs w:val="18"/>
              </w:rPr>
              <w:t>Specify the primary source of funding for the review.</w:t>
            </w:r>
          </w:p>
        </w:tc>
        <w:tc>
          <w:tcPr>
            <w:tcBorders>
              <w:right w:val="single" w:color="000000" w:sz="8" w:space="0"/>
            </w:tcBorders>
            <w:shd w:val="clear" w:color="auto" w:fill="FFFFFF"/>
            <w:tcMar>
              <w:top w:w="0" w:type="dxa"/>
              <w:left w:w="0" w:type="dxa"/>
              <w:bottom w:w="0" w:type="dxa"/>
              <w:right w:w="0" w:type="dxa"/>
            </w:tcMar>
            <w:vAlign w:val="top"/>
          </w:tcPr>
          <w:p w14:paraId="727BDEED">
            <w:pPr>
              <w:spacing w:before="100" w:after="100" w:line="240" w:lineRule="auto"/>
              <w:ind w:left="100" w:right="100" w:firstLine="0"/>
              <w:jc w:val="center"/>
            </w:pPr>
            <w:r>
              <w:rPr>
                <w:rFonts w:ascii="DejaVu Sans" w:hAnsi="DejaVu Sans" w:eastAsia="DejaVu Sans" w:cs="DejaVu Sans"/>
                <w:color w:val="000000"/>
                <w:sz w:val="18"/>
                <w:szCs w:val="18"/>
              </w:rPr>
              <w:t>Yes</w:t>
            </w:r>
          </w:p>
        </w:tc>
      </w:tr>
      <w:tr w14:paraId="6E266724">
        <w:tblPrEx>
          <w:tblCellMar>
            <w:top w:w="0" w:type="dxa"/>
            <w:left w:w="108" w:type="dxa"/>
            <w:bottom w:w="0" w:type="dxa"/>
            <w:right w:w="108" w:type="dxa"/>
          </w:tblCellMar>
        </w:tblPrEx>
        <w:trPr>
          <w:cantSplit/>
          <w:trHeight w:val="0" w:hRule="atLeast"/>
          <w:jc w:val="center"/>
        </w:trPr>
        <w:tc>
          <w:tcPr>
            <w:tcBorders>
              <w:left w:val="single" w:color="000000" w:sz="8" w:space="0"/>
              <w:bottom w:val="single" w:color="000000" w:sz="8" w:space="0"/>
            </w:tcBorders>
            <w:shd w:val="clear" w:color="auto" w:fill="FFFFFF"/>
            <w:tcMar>
              <w:top w:w="0" w:type="dxa"/>
              <w:left w:w="0" w:type="dxa"/>
              <w:bottom w:w="0" w:type="dxa"/>
              <w:right w:w="0" w:type="dxa"/>
            </w:tcMar>
            <w:vAlign w:val="top"/>
          </w:tcPr>
          <w:p w14:paraId="6D2090F1">
            <w:pPr>
              <w:spacing w:before="100" w:after="100" w:line="240" w:lineRule="auto"/>
              <w:ind w:left="100" w:right="100" w:firstLine="0"/>
              <w:jc w:val="left"/>
            </w:pPr>
            <w:r>
              <w:rPr>
                <w:rFonts w:ascii="DejaVu Sans" w:hAnsi="DejaVu Sans" w:eastAsia="DejaVu Sans" w:cs="DejaVu Sans"/>
                <w:b/>
                <w:color w:val="000000"/>
                <w:sz w:val="18"/>
                <w:szCs w:val="18"/>
              </w:rPr>
              <w:t>Registration</w:t>
            </w:r>
          </w:p>
        </w:tc>
        <w:tc>
          <w:tcPr>
            <w:tcBorders>
              <w:bottom w:val="single" w:color="000000" w:sz="8" w:space="0"/>
            </w:tcBorders>
            <w:shd w:val="clear" w:color="auto" w:fill="FFFFFF"/>
            <w:tcMar>
              <w:top w:w="0" w:type="dxa"/>
              <w:left w:w="0" w:type="dxa"/>
              <w:bottom w:w="0" w:type="dxa"/>
              <w:right w:w="0" w:type="dxa"/>
            </w:tcMar>
            <w:vAlign w:val="top"/>
          </w:tcPr>
          <w:p w14:paraId="75244115">
            <w:pPr>
              <w:spacing w:before="100" w:after="100" w:line="240" w:lineRule="auto"/>
              <w:ind w:left="100" w:right="100" w:firstLine="0"/>
              <w:jc w:val="center"/>
            </w:pPr>
            <w:r>
              <w:rPr>
                <w:rFonts w:ascii="DejaVu Sans" w:hAnsi="DejaVu Sans" w:eastAsia="DejaVu Sans" w:cs="DejaVu Sans"/>
                <w:color w:val="000000"/>
                <w:sz w:val="18"/>
                <w:szCs w:val="18"/>
              </w:rPr>
              <w:t>12</w:t>
            </w:r>
          </w:p>
        </w:tc>
        <w:tc>
          <w:tcPr>
            <w:tcBorders>
              <w:bottom w:val="single" w:color="000000" w:sz="8" w:space="0"/>
            </w:tcBorders>
            <w:shd w:val="clear" w:color="auto" w:fill="FFFFFF"/>
            <w:tcMar>
              <w:top w:w="0" w:type="dxa"/>
              <w:left w:w="0" w:type="dxa"/>
              <w:bottom w:w="0" w:type="dxa"/>
              <w:right w:w="0" w:type="dxa"/>
            </w:tcMar>
            <w:vAlign w:val="top"/>
          </w:tcPr>
          <w:p w14:paraId="3797FB6C">
            <w:pPr>
              <w:spacing w:before="100" w:after="100" w:line="240" w:lineRule="auto"/>
              <w:ind w:left="100" w:right="100" w:firstLine="0"/>
              <w:jc w:val="left"/>
            </w:pPr>
            <w:r>
              <w:rPr>
                <w:rFonts w:ascii="DejaVu Sans" w:hAnsi="DejaVu Sans" w:eastAsia="DejaVu Sans" w:cs="DejaVu Sans"/>
                <w:color w:val="000000"/>
                <w:sz w:val="18"/>
                <w:szCs w:val="18"/>
              </w:rPr>
              <w:t>Provide the register name and registration number.</w:t>
            </w:r>
          </w:p>
        </w:tc>
        <w:tc>
          <w:tcPr>
            <w:tcBorders>
              <w:bottom w:val="single" w:color="000000" w:sz="8" w:space="0"/>
              <w:right w:val="single" w:color="000000" w:sz="8" w:space="0"/>
            </w:tcBorders>
            <w:shd w:val="clear" w:color="auto" w:fill="FFFFFF"/>
            <w:tcMar>
              <w:top w:w="0" w:type="dxa"/>
              <w:left w:w="0" w:type="dxa"/>
              <w:bottom w:w="0" w:type="dxa"/>
              <w:right w:w="0" w:type="dxa"/>
            </w:tcMar>
            <w:vAlign w:val="top"/>
          </w:tcPr>
          <w:p w14:paraId="572A455B">
            <w:pPr>
              <w:spacing w:before="100" w:after="100" w:line="240" w:lineRule="auto"/>
              <w:ind w:left="100" w:right="100" w:firstLine="0"/>
              <w:jc w:val="center"/>
            </w:pPr>
            <w:r>
              <w:rPr>
                <w:rFonts w:ascii="DejaVu Sans" w:hAnsi="DejaVu Sans" w:eastAsia="DejaVu Sans" w:cs="DejaVu Sans"/>
                <w:color w:val="000000"/>
                <w:sz w:val="18"/>
                <w:szCs w:val="18"/>
              </w:rPr>
              <w:t>Yes</w:t>
            </w:r>
          </w:p>
        </w:tc>
      </w:tr>
    </w:tbl>
    <w:p w14:paraId="1D1E3AB5">
      <w:pPr>
        <w:pStyle w:val="28"/>
      </w:pPr>
      <w:r>
        <w:t> </w:t>
      </w:r>
    </w:p>
    <w:p w14:paraId="0140832A">
      <w:pPr>
        <w:pStyle w:val="3"/>
      </w:pPr>
      <w:r>
        <w:rPr>
          <w:i/>
          <w:iCs/>
        </w:rPr>
        <w:t>From:</w:t>
      </w:r>
      <w:r>
        <w:t xml:space="preserve"> Page MJ, McKenzie JE, Bossuyt PM, Boutron I, Hoffmann TC, Mulrow CD, et al. The PRISMA 2020 statement: an updated guideline for reporting systematic reviews. MetaArXiv. 2020, September 14. DOI: 10.31222/osf.io/v7gm2. For more information, visit: </w:t>
      </w:r>
      <w:r>
        <w:fldChar w:fldCharType="begin"/>
      </w:r>
      <w:r>
        <w:instrText xml:space="preserve"> HYPERLINK "www.prisma-statement.org" \h </w:instrText>
      </w:r>
      <w:r>
        <w:fldChar w:fldCharType="separate"/>
      </w:r>
      <w:r>
        <w:rPr>
          <w:rStyle w:val="25"/>
        </w:rPr>
        <w:t>www.prisma-statement.org</w:t>
      </w:r>
      <w:r>
        <w:rPr>
          <w:rStyle w:val="25"/>
        </w:rPr>
        <w:fldChar w:fldCharType="end"/>
      </w:r>
      <w:bookmarkStart w:id="3" w:name="_GoBack"/>
      <w:bookmarkEnd w:id="3"/>
    </w:p>
    <w:bookmarkEnd w:id="2"/>
    <w:sectPr>
      <w:footerReference r:id="rId4" w:type="default"/>
      <w:pgSz w:w="12240" w:h="15840"/>
      <w:pgMar w:top="1440" w:right="1440" w:bottom="1440" w:left="1440" w:header="720"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86"/>
    <w:family w:val="roman"/>
    <w:pitch w:val="default"/>
    <w:sig w:usb0="E00006FF" w:usb1="420024FF" w:usb2="02000000" w:usb3="00000000" w:csb0="2000019F" w:csb1="00000000"/>
  </w:font>
  <w:font w:name="Cambria">
    <w:panose1 w:val="02040503050406030204"/>
    <w:charset w:val="00"/>
    <w:family w:val="auto"/>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swiss"/>
    <w:pitch w:val="default"/>
    <w:sig w:usb0="E4002EFF" w:usb1="C000E47F" w:usb2="00000009" w:usb3="00000000" w:csb0="200001FF" w:csb1="00000000"/>
  </w:font>
  <w:font w:name="DejaVu 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Emoji">
    <w:panose1 w:val="020B0502040204020203"/>
    <w:charset w:val="00"/>
    <w:family w:val="auto"/>
    <w:pitch w:val="default"/>
    <w:sig w:usb0="00000001" w:usb1="02000000" w:usb2="08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20858167"/>
      <w:docPartObj>
        <w:docPartGallery w:val="AutoText"/>
      </w:docPartObj>
    </w:sdtPr>
    <w:sdtContent>
      <w:p w14:paraId="7879750F">
        <w:pPr>
          <w:pStyle w:val="14"/>
          <w:jc w:val="right"/>
        </w:pPr>
        <w:r>
          <w:fldChar w:fldCharType="begin"/>
        </w:r>
        <w:r>
          <w:instrText xml:space="preserve"> PAGE   \* MERGEFORMAT </w:instrText>
        </w:r>
        <w:r>
          <w:fldChar w:fldCharType="separate"/>
        </w:r>
        <w:r>
          <w:t>2</w:t>
        </w:r>
        <w:r>
          <w:fldChar w:fldCharType="end"/>
        </w:r>
      </w:p>
    </w:sdtContent>
  </w:sdt>
  <w:p w14:paraId="487BD134">
    <w:pPr>
      <w:pStyle w:val="1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130607"/>
    <w:multiLevelType w:val="multilevel"/>
    <w:tmpl w:val="1E130607"/>
    <w:lvl w:ilvl="0" w:tentative="0">
      <w:start w:val="1"/>
      <w:numFmt w:val="decimal"/>
      <w:lvlText w:val="%1"/>
      <w:lvlJc w:val="left"/>
      <w:pPr>
        <w:ind w:left="-37" w:hanging="360"/>
      </w:pPr>
      <w:rPr>
        <w:rFonts w:hint="default"/>
      </w:rPr>
    </w:lvl>
    <w:lvl w:ilvl="1" w:tentative="0">
      <w:start w:val="1"/>
      <w:numFmt w:val="decimal"/>
      <w:pStyle w:val="4"/>
      <w:lvlText w:val="%1.%2"/>
      <w:lvlJc w:val="left"/>
      <w:pPr>
        <w:ind w:left="792" w:hanging="432"/>
      </w:pPr>
      <w:rPr>
        <w:rFonts w:hint="default"/>
      </w:rPr>
    </w:lvl>
    <w:lvl w:ilvl="2" w:tentative="0">
      <w:start w:val="1"/>
      <w:numFmt w:val="decimal"/>
      <w:pStyle w:val="5"/>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doNotTrackMoves/>
  <w:documentProtection w:enforcement="0"/>
  <w:defaultTabStop w:val="720"/>
  <w:drawingGridHorizontalSpacing w:val="360"/>
  <w:drawingGridVerticalSpacing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45C1EA4"/>
  </w:rsids>
  <m:mathPr>
    <m:mathFont m:val="Cambria Math"/>
    <m:brkBin m:val="before"/>
    <m:brkBinSub m:val="--"/>
    <m:smallFrac m:val="0"/>
    <m:dispDef m:val="0"/>
    <m:lMargin m:val="0"/>
    <m:rMargin m:val="0"/>
    <m:defJc m:val="centerGroup"/>
    <m:wrapRight m:val="1"/>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semiHidden="0" w:name="toc 1"/>
    <w:lsdException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9" w:semiHidden="0" w:name="footnote text"/>
    <w:lsdException w:uiPriority="0" w:name="annotation text"/>
    <w:lsdException w:qFormat="1" w:uiPriority="0" w:semiHidden="0" w:name="header"/>
    <w:lsdException w:qFormat="1" w:uiPriority="99" w:semiHidden="0" w:name="footer"/>
    <w:lsdException w:uiPriority="0" w:name="index heading"/>
    <w:lsdException w:unhideWhenUsed="0" w:uiPriority="0" w:semiHidden="0" w:name="caption"/>
    <w:lsdException w:uiPriority="0" w:name="table of figures"/>
    <w:lsdException w:uiPriority="0" w:name="envelope address"/>
    <w:lsdException w:uiPriority="0" w:name="envelope return"/>
    <w:lsdException w:unhideWhenUsed="0" w:uiPriority="0" w:semiHidden="0" w:name="footnote reference"/>
    <w:lsdException w:uiPriority="0" w:name="annotation reference"/>
    <w:lsdException w:qFormat="1"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nhideWhenUsed="0" w:uiPriority="0" w:semiHidden="0" w:name="List 5"/>
    <w:lsdException w:uiPriority="0" w:name="List Bullet 2"/>
    <w:lsdException w:uiPriority="0" w:name="List Bullet 3"/>
    <w:lsdException w:unhideWhenUsed="0" w:uiPriority="0" w:semiHidden="0" w:name="List Bullet 4"/>
    <w:lsdException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iPriority="0" w:name="Body Text Indent 2"/>
    <w:lsdException w:uiPriority="0" w:name="Body Text Indent 3"/>
    <w:lsdException w:qFormat="1" w:uiPriority="9" w:semiHidden="0" w:name="Block Text"/>
    <w:lsdException w:unhideWhenUsed="0" w:uiPriority="99" w:semiHidden="0" w:name="Hyperlink"/>
    <w:lsdException w:uiPriority="0" w:name="FollowedHyperlink"/>
    <w:lsdException w:unhideWhenUsed="0" w:uiPriority="0" w:semiHidden="0" w:name="Strong"/>
    <w:lsdException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HAnsi" w:cstheme="minorBidi"/>
      <w:sz w:val="24"/>
      <w:szCs w:val="24"/>
      <w:lang w:val="en-US" w:eastAsia="en-US" w:bidi="ar-SA"/>
    </w:rPr>
  </w:style>
  <w:style w:type="paragraph" w:styleId="2">
    <w:name w:val="heading 1"/>
    <w:basedOn w:val="1"/>
    <w:next w:val="3"/>
    <w:qFormat/>
    <w:uiPriority w:val="9"/>
    <w:pPr>
      <w:keepNext/>
      <w:keepLines/>
      <w:spacing w:before="240" w:after="240"/>
      <w:outlineLvl w:val="0"/>
    </w:pPr>
    <w:rPr>
      <w:rFonts w:asciiTheme="majorHAnsi" w:hAnsiTheme="majorHAnsi" w:eastAsiaTheme="majorEastAsia" w:cstheme="majorBidi"/>
      <w:b/>
      <w:bCs/>
      <w:sz w:val="32"/>
      <w:szCs w:val="32"/>
    </w:rPr>
  </w:style>
  <w:style w:type="paragraph" w:styleId="4">
    <w:name w:val="heading 2"/>
    <w:basedOn w:val="1"/>
    <w:next w:val="3"/>
    <w:unhideWhenUsed/>
    <w:qFormat/>
    <w:uiPriority w:val="9"/>
    <w:pPr>
      <w:keepNext/>
      <w:keepLines/>
      <w:numPr>
        <w:ilvl w:val="1"/>
        <w:numId w:val="1"/>
      </w:numPr>
      <w:spacing w:before="240" w:after="240"/>
      <w:ind w:left="0" w:hanging="567"/>
      <w:outlineLvl w:val="1"/>
    </w:pPr>
    <w:rPr>
      <w:rFonts w:asciiTheme="majorHAnsi" w:hAnsiTheme="majorHAnsi" w:eastAsiaTheme="majorEastAsia" w:cstheme="majorBidi"/>
      <w:b/>
      <w:bCs/>
      <w:sz w:val="28"/>
      <w:szCs w:val="28"/>
    </w:rPr>
  </w:style>
  <w:style w:type="paragraph" w:styleId="5">
    <w:name w:val="heading 3"/>
    <w:basedOn w:val="4"/>
    <w:next w:val="3"/>
    <w:unhideWhenUsed/>
    <w:qFormat/>
    <w:uiPriority w:val="9"/>
    <w:pPr>
      <w:numPr>
        <w:ilvl w:val="2"/>
      </w:numPr>
      <w:ind w:left="0" w:hanging="567"/>
      <w:outlineLvl w:val="2"/>
    </w:pPr>
    <w:rPr>
      <w:sz w:val="24"/>
    </w:rPr>
  </w:style>
  <w:style w:type="paragraph" w:styleId="6">
    <w:name w:val="heading 4"/>
    <w:basedOn w:val="1"/>
    <w:next w:val="3"/>
    <w:unhideWhenUsed/>
    <w:qFormat/>
    <w:uiPriority w:val="9"/>
    <w:pPr>
      <w:keepNext/>
      <w:keepLines/>
      <w:spacing w:after="0"/>
      <w:outlineLvl w:val="3"/>
    </w:pPr>
    <w:rPr>
      <w:rFonts w:asciiTheme="majorHAnsi" w:hAnsiTheme="majorHAnsi" w:eastAsiaTheme="majorEastAsia" w:cstheme="majorBidi"/>
      <w:b/>
      <w:bCs/>
    </w:rPr>
  </w:style>
  <w:style w:type="paragraph" w:styleId="7">
    <w:name w:val="heading 5"/>
    <w:basedOn w:val="6"/>
    <w:next w:val="3"/>
    <w:unhideWhenUsed/>
    <w:qFormat/>
    <w:uiPriority w:val="9"/>
    <w:pPr>
      <w:pageBreakBefore/>
      <w:spacing w:line="20" w:lineRule="exact"/>
      <w:outlineLvl w:val="4"/>
    </w:pPr>
    <w:rPr>
      <w:color w:val="FFFFFF" w:themeColor="background1"/>
      <w:sz w:val="16"/>
      <w14:textFill>
        <w14:solidFill>
          <w14:schemeClr w14:val="bg1"/>
        </w14:solidFill>
      </w14:textFill>
    </w:rPr>
  </w:style>
  <w:style w:type="paragraph" w:styleId="8">
    <w:name w:val="heading 6"/>
    <w:basedOn w:val="1"/>
    <w:next w:val="3"/>
    <w:unhideWhenUsed/>
    <w:qFormat/>
    <w:uiPriority w:val="9"/>
    <w:pPr>
      <w:keepNext/>
      <w:keepLines/>
      <w:spacing w:before="200" w:after="0"/>
      <w:outlineLvl w:val="5"/>
    </w:pPr>
    <w:rPr>
      <w:rFonts w:asciiTheme="majorHAnsi" w:hAnsiTheme="majorHAnsi" w:eastAsiaTheme="majorEastAsia" w:cstheme="majorBidi"/>
      <w:color w:val="4F81BD" w:themeColor="accent1"/>
      <w14:textFill>
        <w14:solidFill>
          <w14:schemeClr w14:val="accent1"/>
        </w14:solidFill>
      </w14:textFill>
    </w:rPr>
  </w:style>
  <w:style w:type="character" w:default="1" w:styleId="23">
    <w:name w:val="Default Paragraph Font"/>
    <w:semiHidden/>
    <w:unhideWhenUsed/>
    <w:uiPriority w:val="1"/>
  </w:style>
  <w:style w:type="table" w:default="1" w:styleId="21">
    <w:name w:val="Normal Table"/>
    <w:semiHidden/>
    <w:unhideWhenUsed/>
    <w:uiPriority w:val="99"/>
    <w:tblPr>
      <w:tblCellMar>
        <w:top w:w="0" w:type="dxa"/>
        <w:left w:w="108" w:type="dxa"/>
        <w:bottom w:w="0" w:type="dxa"/>
        <w:right w:w="108" w:type="dxa"/>
      </w:tblCellMar>
    </w:tblPr>
  </w:style>
  <w:style w:type="paragraph" w:styleId="3">
    <w:name w:val="Body Text"/>
    <w:basedOn w:val="1"/>
    <w:link w:val="73"/>
    <w:qFormat/>
    <w:uiPriority w:val="0"/>
    <w:pPr>
      <w:spacing w:before="120" w:after="120"/>
    </w:pPr>
  </w:style>
  <w:style w:type="paragraph" w:styleId="9">
    <w:name w:val="caption"/>
    <w:basedOn w:val="1"/>
    <w:link w:val="26"/>
    <w:uiPriority w:val="0"/>
    <w:pPr>
      <w:spacing w:after="120"/>
    </w:pPr>
    <w:rPr>
      <w:i/>
    </w:rPr>
  </w:style>
  <w:style w:type="paragraph" w:styleId="10">
    <w:name w:val="Block Text"/>
    <w:basedOn w:val="3"/>
    <w:next w:val="3"/>
    <w:unhideWhenUsed/>
    <w:qFormat/>
    <w:uiPriority w:val="9"/>
    <w:pPr>
      <w:spacing w:before="100" w:after="100"/>
    </w:pPr>
    <w:rPr>
      <w:rFonts w:asciiTheme="majorHAnsi" w:hAnsiTheme="majorHAnsi" w:eastAsiaTheme="majorEastAsia" w:cstheme="majorBidi"/>
      <w:bCs/>
      <w:sz w:val="20"/>
      <w:szCs w:val="20"/>
    </w:rPr>
  </w:style>
  <w:style w:type="paragraph" w:styleId="11">
    <w:name w:val="toc 3"/>
    <w:basedOn w:val="1"/>
    <w:next w:val="1"/>
    <w:autoRedefine/>
    <w:unhideWhenUsed/>
    <w:qFormat/>
    <w:uiPriority w:val="39"/>
    <w:pPr>
      <w:spacing w:after="100"/>
      <w:ind w:left="480"/>
    </w:pPr>
  </w:style>
  <w:style w:type="paragraph" w:styleId="12">
    <w:name w:val="Date"/>
    <w:next w:val="3"/>
    <w:qFormat/>
    <w:uiPriority w:val="0"/>
    <w:pPr>
      <w:keepNext/>
      <w:keepLines/>
      <w:spacing w:after="200"/>
      <w:jc w:val="center"/>
    </w:pPr>
    <w:rPr>
      <w:rFonts w:asciiTheme="minorHAnsi" w:hAnsiTheme="minorHAnsi" w:eastAsiaTheme="minorHAnsi" w:cstheme="minorBidi"/>
      <w:i/>
      <w:sz w:val="24"/>
      <w:szCs w:val="24"/>
      <w:lang w:val="en-US" w:eastAsia="en-US" w:bidi="ar-SA"/>
    </w:rPr>
  </w:style>
  <w:style w:type="paragraph" w:styleId="13">
    <w:name w:val="Balloon Text"/>
    <w:basedOn w:val="1"/>
    <w:link w:val="76"/>
    <w:semiHidden/>
    <w:unhideWhenUsed/>
    <w:uiPriority w:val="0"/>
    <w:pPr>
      <w:spacing w:after="0"/>
    </w:pPr>
    <w:rPr>
      <w:rFonts w:ascii="Segoe UI" w:hAnsi="Segoe UI" w:cs="Segoe UI"/>
      <w:sz w:val="18"/>
      <w:szCs w:val="18"/>
    </w:rPr>
  </w:style>
  <w:style w:type="paragraph" w:styleId="14">
    <w:name w:val="footer"/>
    <w:basedOn w:val="1"/>
    <w:link w:val="75"/>
    <w:unhideWhenUsed/>
    <w:qFormat/>
    <w:uiPriority w:val="99"/>
    <w:pPr>
      <w:tabs>
        <w:tab w:val="center" w:pos="4513"/>
        <w:tab w:val="right" w:pos="9026"/>
      </w:tabs>
      <w:spacing w:after="0"/>
    </w:pPr>
  </w:style>
  <w:style w:type="paragraph" w:styleId="15">
    <w:name w:val="header"/>
    <w:basedOn w:val="1"/>
    <w:link w:val="74"/>
    <w:unhideWhenUsed/>
    <w:qFormat/>
    <w:uiPriority w:val="0"/>
    <w:pPr>
      <w:tabs>
        <w:tab w:val="center" w:pos="4513"/>
        <w:tab w:val="right" w:pos="9026"/>
      </w:tabs>
      <w:spacing w:after="0"/>
    </w:pPr>
  </w:style>
  <w:style w:type="paragraph" w:styleId="16">
    <w:name w:val="toc 1"/>
    <w:basedOn w:val="1"/>
    <w:next w:val="1"/>
    <w:autoRedefine/>
    <w:unhideWhenUsed/>
    <w:uiPriority w:val="39"/>
    <w:pPr>
      <w:spacing w:after="100"/>
    </w:pPr>
  </w:style>
  <w:style w:type="paragraph" w:styleId="17">
    <w:name w:val="Subtitle"/>
    <w:basedOn w:val="18"/>
    <w:next w:val="3"/>
    <w:qFormat/>
    <w:uiPriority w:val="0"/>
    <w:pPr>
      <w:spacing w:before="240"/>
    </w:pPr>
    <w:rPr>
      <w:sz w:val="30"/>
      <w:szCs w:val="30"/>
    </w:rPr>
  </w:style>
  <w:style w:type="paragraph" w:styleId="18">
    <w:name w:val="Title"/>
    <w:basedOn w:val="1"/>
    <w:next w:val="3"/>
    <w:qFormat/>
    <w:uiPriority w:val="0"/>
    <w:pPr>
      <w:keepNext/>
      <w:keepLines/>
      <w:spacing w:before="480" w:after="240"/>
      <w:jc w:val="center"/>
    </w:pPr>
    <w:rPr>
      <w:rFonts w:asciiTheme="majorHAnsi" w:hAnsiTheme="majorHAnsi" w:eastAsiaTheme="majorEastAsia" w:cstheme="majorBidi"/>
      <w:b/>
      <w:bCs/>
      <w:sz w:val="36"/>
      <w:szCs w:val="36"/>
    </w:rPr>
  </w:style>
  <w:style w:type="paragraph" w:styleId="19">
    <w:name w:val="footnote text"/>
    <w:basedOn w:val="1"/>
    <w:unhideWhenUsed/>
    <w:qFormat/>
    <w:uiPriority w:val="9"/>
  </w:style>
  <w:style w:type="paragraph" w:styleId="20">
    <w:name w:val="toc 2"/>
    <w:basedOn w:val="1"/>
    <w:next w:val="1"/>
    <w:autoRedefine/>
    <w:unhideWhenUsed/>
    <w:uiPriority w:val="39"/>
    <w:pPr>
      <w:spacing w:after="100"/>
      <w:ind w:left="240"/>
    </w:pPr>
  </w:style>
  <w:style w:type="table" w:styleId="22">
    <w:name w:val="Table Grid"/>
    <w:basedOn w:val="21"/>
    <w:uiPriority w:val="0"/>
    <w:pPr>
      <w:spacing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line number"/>
    <w:basedOn w:val="23"/>
    <w:semiHidden/>
    <w:unhideWhenUsed/>
    <w:qFormat/>
    <w:uiPriority w:val="0"/>
  </w:style>
  <w:style w:type="character" w:styleId="25">
    <w:name w:val="Hyperlink"/>
    <w:basedOn w:val="26"/>
    <w:uiPriority w:val="99"/>
    <w:rPr>
      <w:color w:val="4F81BD" w:themeColor="accent1"/>
      <w14:textFill>
        <w14:solidFill>
          <w14:schemeClr w14:val="accent1"/>
        </w14:solidFill>
      </w14:textFill>
    </w:rPr>
  </w:style>
  <w:style w:type="character" w:customStyle="1" w:styleId="26">
    <w:name w:val="Caption Char"/>
    <w:basedOn w:val="23"/>
    <w:link w:val="9"/>
    <w:uiPriority w:val="0"/>
  </w:style>
  <w:style w:type="character" w:styleId="27">
    <w:name w:val="footnote reference"/>
    <w:basedOn w:val="26"/>
    <w:uiPriority w:val="0"/>
    <w:rPr>
      <w:vertAlign w:val="superscript"/>
    </w:rPr>
  </w:style>
  <w:style w:type="paragraph" w:customStyle="1" w:styleId="28">
    <w:name w:val="First Paragraph"/>
    <w:basedOn w:val="3"/>
    <w:next w:val="3"/>
    <w:qFormat/>
    <w:uiPriority w:val="0"/>
  </w:style>
  <w:style w:type="paragraph" w:customStyle="1" w:styleId="29">
    <w:name w:val="Compact"/>
    <w:basedOn w:val="3"/>
    <w:qFormat/>
    <w:uiPriority w:val="0"/>
    <w:pPr>
      <w:spacing w:before="36" w:after="36"/>
    </w:pPr>
    <w:rPr>
      <w:rFonts w:cs="Arial"/>
      <w:szCs w:val="18"/>
    </w:rPr>
  </w:style>
  <w:style w:type="paragraph" w:customStyle="1" w:styleId="30">
    <w:name w:val="Author"/>
    <w:next w:val="3"/>
    <w:qFormat/>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customStyle="1" w:styleId="31">
    <w:name w:val="Abstract"/>
    <w:basedOn w:val="1"/>
    <w:next w:val="3"/>
    <w:qFormat/>
    <w:uiPriority w:val="0"/>
    <w:pPr>
      <w:keepNext/>
      <w:keepLines/>
      <w:spacing w:before="300" w:after="300"/>
    </w:pPr>
    <w:rPr>
      <w:sz w:val="20"/>
      <w:szCs w:val="20"/>
    </w:rPr>
  </w:style>
  <w:style w:type="paragraph" w:customStyle="1" w:styleId="32">
    <w:name w:val="Bibliography"/>
    <w:basedOn w:val="1"/>
    <w:qFormat/>
    <w:uiPriority w:val="0"/>
  </w:style>
  <w:style w:type="paragraph" w:customStyle="1" w:styleId="33">
    <w:name w:val="Definition Term"/>
    <w:basedOn w:val="1"/>
    <w:next w:val="34"/>
    <w:uiPriority w:val="0"/>
    <w:pPr>
      <w:keepNext/>
      <w:keepLines/>
      <w:spacing w:after="0"/>
    </w:pPr>
    <w:rPr>
      <w:b/>
    </w:rPr>
  </w:style>
  <w:style w:type="paragraph" w:customStyle="1" w:styleId="34">
    <w:name w:val="Definition"/>
    <w:basedOn w:val="1"/>
    <w:uiPriority w:val="0"/>
  </w:style>
  <w:style w:type="paragraph" w:customStyle="1" w:styleId="35">
    <w:name w:val="Table Caption"/>
    <w:basedOn w:val="9"/>
    <w:qFormat/>
    <w:uiPriority w:val="0"/>
    <w:pPr>
      <w:keepNext/>
    </w:pPr>
  </w:style>
  <w:style w:type="paragraph" w:customStyle="1" w:styleId="36">
    <w:name w:val="Image Caption"/>
    <w:basedOn w:val="9"/>
    <w:qFormat/>
    <w:uiPriority w:val="0"/>
  </w:style>
  <w:style w:type="paragraph" w:customStyle="1" w:styleId="37">
    <w:name w:val="Figure"/>
    <w:basedOn w:val="1"/>
    <w:qFormat/>
    <w:uiPriority w:val="0"/>
  </w:style>
  <w:style w:type="paragraph" w:customStyle="1" w:styleId="38">
    <w:name w:val="Figure with Caption"/>
    <w:basedOn w:val="37"/>
    <w:qFormat/>
    <w:uiPriority w:val="0"/>
    <w:pPr>
      <w:keepNext/>
    </w:pPr>
  </w:style>
  <w:style w:type="character" w:customStyle="1" w:styleId="39">
    <w:name w:val="Verbatim Char"/>
    <w:basedOn w:val="26"/>
    <w:link w:val="40"/>
    <w:uiPriority w:val="0"/>
    <w:rPr>
      <w:rFonts w:ascii="Consolas" w:hAnsi="Consolas"/>
      <w:sz w:val="22"/>
    </w:rPr>
  </w:style>
  <w:style w:type="paragraph" w:customStyle="1" w:styleId="40">
    <w:name w:val="Source Code"/>
    <w:basedOn w:val="1"/>
    <w:link w:val="39"/>
    <w:qFormat/>
    <w:uiPriority w:val="0"/>
    <w:pPr>
      <w:shd w:val="clear" w:color="auto" w:fill="F8F8F8"/>
      <w:wordWrap w:val="0"/>
    </w:pPr>
  </w:style>
  <w:style w:type="paragraph" w:customStyle="1" w:styleId="41">
    <w:name w:val="TOC Heading"/>
    <w:basedOn w:val="1"/>
    <w:next w:val="3"/>
    <w:unhideWhenUsed/>
    <w:qFormat/>
    <w:uiPriority w:val="39"/>
    <w:rPr>
      <w:rFonts w:asciiTheme="majorHAnsi" w:hAnsiTheme="majorHAnsi" w:cstheme="majorHAnsi"/>
      <w:b/>
      <w:bCs/>
      <w:sz w:val="32"/>
      <w:szCs w:val="32"/>
    </w:rPr>
  </w:style>
  <w:style w:type="character" w:customStyle="1" w:styleId="42">
    <w:name w:val="KeywordTok"/>
    <w:basedOn w:val="39"/>
    <w:uiPriority w:val="0"/>
    <w:rPr>
      <w:rFonts w:ascii="Consolas" w:hAnsi="Consolas"/>
      <w:b/>
      <w:color w:val="204A87"/>
      <w:sz w:val="22"/>
      <w:shd w:val="clear" w:color="auto" w:fill="F8F8F8"/>
    </w:rPr>
  </w:style>
  <w:style w:type="character" w:customStyle="1" w:styleId="43">
    <w:name w:val="DataTypeTok"/>
    <w:basedOn w:val="39"/>
    <w:uiPriority w:val="0"/>
    <w:rPr>
      <w:rFonts w:ascii="Consolas" w:hAnsi="Consolas"/>
      <w:color w:val="204A87"/>
      <w:sz w:val="22"/>
      <w:shd w:val="clear" w:color="auto" w:fill="F8F8F8"/>
    </w:rPr>
  </w:style>
  <w:style w:type="character" w:customStyle="1" w:styleId="44">
    <w:name w:val="DecValTok"/>
    <w:basedOn w:val="39"/>
    <w:uiPriority w:val="0"/>
    <w:rPr>
      <w:rFonts w:ascii="Consolas" w:hAnsi="Consolas"/>
      <w:color w:val="0000CF"/>
      <w:sz w:val="22"/>
      <w:shd w:val="clear" w:color="auto" w:fill="F8F8F8"/>
    </w:rPr>
  </w:style>
  <w:style w:type="character" w:customStyle="1" w:styleId="45">
    <w:name w:val="BaseNTok"/>
    <w:basedOn w:val="39"/>
    <w:qFormat/>
    <w:uiPriority w:val="0"/>
    <w:rPr>
      <w:rFonts w:ascii="Consolas" w:hAnsi="Consolas"/>
      <w:color w:val="0000CF"/>
      <w:sz w:val="22"/>
      <w:shd w:val="clear" w:color="auto" w:fill="F8F8F8"/>
    </w:rPr>
  </w:style>
  <w:style w:type="character" w:customStyle="1" w:styleId="46">
    <w:name w:val="FloatTok"/>
    <w:basedOn w:val="39"/>
    <w:uiPriority w:val="0"/>
    <w:rPr>
      <w:rFonts w:ascii="Consolas" w:hAnsi="Consolas"/>
      <w:color w:val="0000CF"/>
      <w:sz w:val="22"/>
      <w:shd w:val="clear" w:color="auto" w:fill="F8F8F8"/>
    </w:rPr>
  </w:style>
  <w:style w:type="character" w:customStyle="1" w:styleId="47">
    <w:name w:val="ConstantTok"/>
    <w:basedOn w:val="39"/>
    <w:qFormat/>
    <w:uiPriority w:val="0"/>
    <w:rPr>
      <w:rFonts w:ascii="Consolas" w:hAnsi="Consolas"/>
      <w:color w:val="000000"/>
      <w:sz w:val="22"/>
      <w:shd w:val="clear" w:color="auto" w:fill="F8F8F8"/>
    </w:rPr>
  </w:style>
  <w:style w:type="character" w:customStyle="1" w:styleId="48">
    <w:name w:val="CharTok"/>
    <w:basedOn w:val="39"/>
    <w:qFormat/>
    <w:uiPriority w:val="0"/>
    <w:rPr>
      <w:rFonts w:ascii="Consolas" w:hAnsi="Consolas"/>
      <w:color w:val="4E9A06"/>
      <w:sz w:val="22"/>
      <w:shd w:val="clear" w:color="auto" w:fill="F8F8F8"/>
    </w:rPr>
  </w:style>
  <w:style w:type="character" w:customStyle="1" w:styleId="49">
    <w:name w:val="SpecialCharTok"/>
    <w:basedOn w:val="39"/>
    <w:qFormat/>
    <w:uiPriority w:val="0"/>
    <w:rPr>
      <w:rFonts w:ascii="Consolas" w:hAnsi="Consolas"/>
      <w:color w:val="000000"/>
      <w:sz w:val="22"/>
      <w:shd w:val="clear" w:color="auto" w:fill="F8F8F8"/>
    </w:rPr>
  </w:style>
  <w:style w:type="character" w:customStyle="1" w:styleId="50">
    <w:name w:val="StringTok"/>
    <w:basedOn w:val="39"/>
    <w:qFormat/>
    <w:uiPriority w:val="0"/>
    <w:rPr>
      <w:rFonts w:ascii="Consolas" w:hAnsi="Consolas"/>
      <w:color w:val="4E9A06"/>
      <w:sz w:val="22"/>
      <w:shd w:val="clear" w:color="auto" w:fill="F8F8F8"/>
    </w:rPr>
  </w:style>
  <w:style w:type="character" w:customStyle="1" w:styleId="51">
    <w:name w:val="VerbatimStringTok"/>
    <w:basedOn w:val="39"/>
    <w:uiPriority w:val="0"/>
    <w:rPr>
      <w:rFonts w:ascii="Consolas" w:hAnsi="Consolas"/>
      <w:color w:val="4E9A06"/>
      <w:sz w:val="22"/>
      <w:shd w:val="clear" w:color="auto" w:fill="F8F8F8"/>
    </w:rPr>
  </w:style>
  <w:style w:type="character" w:customStyle="1" w:styleId="52">
    <w:name w:val="SpecialStringTok"/>
    <w:basedOn w:val="39"/>
    <w:qFormat/>
    <w:uiPriority w:val="0"/>
    <w:rPr>
      <w:rFonts w:ascii="Consolas" w:hAnsi="Consolas"/>
      <w:color w:val="4E9A06"/>
      <w:sz w:val="22"/>
      <w:shd w:val="clear" w:color="auto" w:fill="F8F8F8"/>
    </w:rPr>
  </w:style>
  <w:style w:type="character" w:customStyle="1" w:styleId="53">
    <w:name w:val="ImportTok"/>
    <w:basedOn w:val="39"/>
    <w:uiPriority w:val="0"/>
    <w:rPr>
      <w:rFonts w:ascii="Consolas" w:hAnsi="Consolas"/>
      <w:sz w:val="22"/>
      <w:shd w:val="clear" w:color="auto" w:fill="F8F8F8"/>
    </w:rPr>
  </w:style>
  <w:style w:type="character" w:customStyle="1" w:styleId="54">
    <w:name w:val="CommentTok"/>
    <w:basedOn w:val="39"/>
    <w:uiPriority w:val="0"/>
    <w:rPr>
      <w:rFonts w:ascii="Consolas" w:hAnsi="Consolas"/>
      <w:i/>
      <w:color w:val="8F5902"/>
      <w:sz w:val="22"/>
      <w:shd w:val="clear" w:color="auto" w:fill="F8F8F8"/>
    </w:rPr>
  </w:style>
  <w:style w:type="character" w:customStyle="1" w:styleId="55">
    <w:name w:val="DocumentationTok"/>
    <w:basedOn w:val="39"/>
    <w:qFormat/>
    <w:uiPriority w:val="0"/>
    <w:rPr>
      <w:rFonts w:ascii="Consolas" w:hAnsi="Consolas"/>
      <w:b/>
      <w:i/>
      <w:color w:val="8F5902"/>
      <w:sz w:val="22"/>
      <w:shd w:val="clear" w:color="auto" w:fill="F8F8F8"/>
    </w:rPr>
  </w:style>
  <w:style w:type="character" w:customStyle="1" w:styleId="56">
    <w:name w:val="AnnotationTok"/>
    <w:basedOn w:val="39"/>
    <w:qFormat/>
    <w:uiPriority w:val="0"/>
    <w:rPr>
      <w:rFonts w:ascii="Consolas" w:hAnsi="Consolas"/>
      <w:b/>
      <w:i/>
      <w:color w:val="8F5902"/>
      <w:sz w:val="22"/>
      <w:shd w:val="clear" w:color="auto" w:fill="F8F8F8"/>
    </w:rPr>
  </w:style>
  <w:style w:type="character" w:customStyle="1" w:styleId="57">
    <w:name w:val="CommentVarTok"/>
    <w:basedOn w:val="39"/>
    <w:uiPriority w:val="0"/>
    <w:rPr>
      <w:rFonts w:ascii="Consolas" w:hAnsi="Consolas"/>
      <w:b/>
      <w:i/>
      <w:color w:val="8F5902"/>
      <w:sz w:val="22"/>
      <w:shd w:val="clear" w:color="auto" w:fill="F8F8F8"/>
    </w:rPr>
  </w:style>
  <w:style w:type="character" w:customStyle="1" w:styleId="58">
    <w:name w:val="OtherTok"/>
    <w:basedOn w:val="39"/>
    <w:qFormat/>
    <w:uiPriority w:val="0"/>
    <w:rPr>
      <w:rFonts w:ascii="Consolas" w:hAnsi="Consolas"/>
      <w:color w:val="8F5902"/>
      <w:sz w:val="22"/>
      <w:shd w:val="clear" w:color="auto" w:fill="F8F8F8"/>
    </w:rPr>
  </w:style>
  <w:style w:type="character" w:customStyle="1" w:styleId="59">
    <w:name w:val="FunctionTok"/>
    <w:basedOn w:val="39"/>
    <w:uiPriority w:val="0"/>
    <w:rPr>
      <w:rFonts w:ascii="Consolas" w:hAnsi="Consolas"/>
      <w:color w:val="000000"/>
      <w:sz w:val="22"/>
      <w:shd w:val="clear" w:color="auto" w:fill="F8F8F8"/>
    </w:rPr>
  </w:style>
  <w:style w:type="character" w:customStyle="1" w:styleId="60">
    <w:name w:val="VariableTok"/>
    <w:basedOn w:val="39"/>
    <w:uiPriority w:val="0"/>
    <w:rPr>
      <w:rFonts w:ascii="Consolas" w:hAnsi="Consolas"/>
      <w:color w:val="000000"/>
      <w:sz w:val="22"/>
      <w:shd w:val="clear" w:color="auto" w:fill="F8F8F8"/>
    </w:rPr>
  </w:style>
  <w:style w:type="character" w:customStyle="1" w:styleId="61">
    <w:name w:val="ControlFlowTok"/>
    <w:basedOn w:val="39"/>
    <w:uiPriority w:val="0"/>
    <w:rPr>
      <w:rFonts w:ascii="Consolas" w:hAnsi="Consolas"/>
      <w:b/>
      <w:color w:val="204A87"/>
      <w:sz w:val="22"/>
      <w:shd w:val="clear" w:color="auto" w:fill="F8F8F8"/>
    </w:rPr>
  </w:style>
  <w:style w:type="character" w:customStyle="1" w:styleId="62">
    <w:name w:val="OperatorTok"/>
    <w:basedOn w:val="39"/>
    <w:qFormat/>
    <w:uiPriority w:val="0"/>
    <w:rPr>
      <w:rFonts w:ascii="Consolas" w:hAnsi="Consolas"/>
      <w:b/>
      <w:color w:val="CE5C00"/>
      <w:sz w:val="22"/>
      <w:shd w:val="clear" w:color="auto" w:fill="F8F8F8"/>
    </w:rPr>
  </w:style>
  <w:style w:type="character" w:customStyle="1" w:styleId="63">
    <w:name w:val="BuiltInTok"/>
    <w:basedOn w:val="39"/>
    <w:uiPriority w:val="0"/>
    <w:rPr>
      <w:rFonts w:ascii="Consolas" w:hAnsi="Consolas"/>
      <w:sz w:val="22"/>
      <w:shd w:val="clear" w:color="auto" w:fill="F8F8F8"/>
    </w:rPr>
  </w:style>
  <w:style w:type="character" w:customStyle="1" w:styleId="64">
    <w:name w:val="ExtensionTok"/>
    <w:basedOn w:val="39"/>
    <w:uiPriority w:val="0"/>
    <w:rPr>
      <w:rFonts w:ascii="Consolas" w:hAnsi="Consolas"/>
      <w:sz w:val="22"/>
      <w:shd w:val="clear" w:color="auto" w:fill="F8F8F8"/>
    </w:rPr>
  </w:style>
  <w:style w:type="character" w:customStyle="1" w:styleId="65">
    <w:name w:val="PreprocessorTok"/>
    <w:basedOn w:val="39"/>
    <w:qFormat/>
    <w:uiPriority w:val="0"/>
    <w:rPr>
      <w:rFonts w:ascii="Consolas" w:hAnsi="Consolas"/>
      <w:i/>
      <w:color w:val="8F5902"/>
      <w:sz w:val="22"/>
      <w:shd w:val="clear" w:color="auto" w:fill="F8F8F8"/>
    </w:rPr>
  </w:style>
  <w:style w:type="character" w:customStyle="1" w:styleId="66">
    <w:name w:val="AttributeTok"/>
    <w:basedOn w:val="39"/>
    <w:uiPriority w:val="0"/>
    <w:rPr>
      <w:rFonts w:ascii="Consolas" w:hAnsi="Consolas"/>
      <w:color w:val="C4A000"/>
      <w:sz w:val="22"/>
      <w:shd w:val="clear" w:color="auto" w:fill="F8F8F8"/>
    </w:rPr>
  </w:style>
  <w:style w:type="character" w:customStyle="1" w:styleId="67">
    <w:name w:val="RegionMarkerTok"/>
    <w:basedOn w:val="39"/>
    <w:uiPriority w:val="0"/>
    <w:rPr>
      <w:rFonts w:ascii="Consolas" w:hAnsi="Consolas"/>
      <w:sz w:val="22"/>
      <w:shd w:val="clear" w:color="auto" w:fill="F8F8F8"/>
    </w:rPr>
  </w:style>
  <w:style w:type="character" w:customStyle="1" w:styleId="68">
    <w:name w:val="InformationTok"/>
    <w:basedOn w:val="39"/>
    <w:uiPriority w:val="0"/>
    <w:rPr>
      <w:rFonts w:ascii="Consolas" w:hAnsi="Consolas"/>
      <w:b/>
      <w:i/>
      <w:color w:val="8F5902"/>
      <w:sz w:val="22"/>
      <w:shd w:val="clear" w:color="auto" w:fill="F8F8F8"/>
    </w:rPr>
  </w:style>
  <w:style w:type="character" w:customStyle="1" w:styleId="69">
    <w:name w:val="WarningTok"/>
    <w:basedOn w:val="39"/>
    <w:uiPriority w:val="0"/>
    <w:rPr>
      <w:rFonts w:ascii="Consolas" w:hAnsi="Consolas"/>
      <w:b/>
      <w:i/>
      <w:color w:val="8F5902"/>
      <w:sz w:val="22"/>
      <w:shd w:val="clear" w:color="auto" w:fill="F8F8F8"/>
    </w:rPr>
  </w:style>
  <w:style w:type="character" w:customStyle="1" w:styleId="70">
    <w:name w:val="AlertTok"/>
    <w:basedOn w:val="39"/>
    <w:qFormat/>
    <w:uiPriority w:val="0"/>
    <w:rPr>
      <w:rFonts w:ascii="Consolas" w:hAnsi="Consolas"/>
      <w:color w:val="EF2929"/>
      <w:sz w:val="22"/>
      <w:shd w:val="clear" w:color="auto" w:fill="F8F8F8"/>
    </w:rPr>
  </w:style>
  <w:style w:type="character" w:customStyle="1" w:styleId="71">
    <w:name w:val="ErrorTok"/>
    <w:basedOn w:val="39"/>
    <w:uiPriority w:val="0"/>
    <w:rPr>
      <w:rFonts w:ascii="Consolas" w:hAnsi="Consolas"/>
      <w:b/>
      <w:color w:val="A40000"/>
      <w:sz w:val="22"/>
      <w:shd w:val="clear" w:color="auto" w:fill="F8F8F8"/>
    </w:rPr>
  </w:style>
  <w:style w:type="character" w:customStyle="1" w:styleId="72">
    <w:name w:val="NormalTok"/>
    <w:basedOn w:val="39"/>
    <w:qFormat/>
    <w:uiPriority w:val="0"/>
    <w:rPr>
      <w:rFonts w:ascii="Consolas" w:hAnsi="Consolas"/>
      <w:sz w:val="22"/>
      <w:shd w:val="clear" w:color="auto" w:fill="F8F8F8"/>
    </w:rPr>
  </w:style>
  <w:style w:type="character" w:customStyle="1" w:styleId="73">
    <w:name w:val="Body Text Char"/>
    <w:basedOn w:val="23"/>
    <w:link w:val="3"/>
    <w:uiPriority w:val="0"/>
  </w:style>
  <w:style w:type="character" w:customStyle="1" w:styleId="74">
    <w:name w:val="Header Char"/>
    <w:basedOn w:val="23"/>
    <w:link w:val="15"/>
    <w:uiPriority w:val="0"/>
  </w:style>
  <w:style w:type="character" w:customStyle="1" w:styleId="75">
    <w:name w:val="Footer Char"/>
    <w:basedOn w:val="23"/>
    <w:link w:val="14"/>
    <w:uiPriority w:val="99"/>
  </w:style>
  <w:style w:type="character" w:customStyle="1" w:styleId="76">
    <w:name w:val="Balloon Text Char"/>
    <w:basedOn w:val="23"/>
    <w:link w:val="13"/>
    <w:semiHidden/>
    <w:uiPriority w:val="0"/>
    <w:rPr>
      <w:rFonts w:ascii="Segoe UI" w:hAnsi="Segoe UI" w:cs="Segoe UI"/>
      <w:sz w:val="18"/>
      <w:szCs w:val="18"/>
    </w:rPr>
  </w:style>
  <w:style w:type="table" w:customStyle="1" w:styleId="77">
    <w:name w:val="Style1"/>
    <w:basedOn w:val="21"/>
    <w:uiPriority w:val="99"/>
    <w:pPr>
      <w:spacing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vAlign w:val="center"/>
    </w:tcPr>
    <w:tblStylePr w:type="firstRow">
      <w:rPr>
        <w:b/>
      </w:rPr>
      <w:tcPr>
        <w:shd w:val="clear" w:color="auto" w:fill="BEBEBE" w:themeFill="background1" w:themeFillShade="BF"/>
      </w:tcPr>
    </w:tblStylePr>
    <w:tblStylePr w:type="band2Horz">
      <w:tcPr>
        <w:shd w:val="clear" w:color="auto" w:fill="D8D8D8" w:themeFill="background1" w:themeFillShade="D9"/>
      </w:tcPr>
    </w:tblStyle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Company>University of Bristol</Company>
  <Pages>18</Pages>
  <Words>1384</Words>
  <Characters>8433</Characters>
  <Lines>4</Lines>
  <Paragraphs>1</Paragraphs>
  <TotalTime>18</TotalTime>
  <ScaleCrop>false</ScaleCrop>
  <LinksUpToDate>false</LinksUpToDate>
  <CharactersWithSpaces>9652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2026-01-22T04:24:00Z</dcterms:created>
  <dc:creator>WPS_1568189827</dc:creator>
  <cp:lastModifiedBy>WPS_1568189827</cp:lastModifiedBy>
  <dcterms:modified xsi:type="dcterms:W3CDTF">2026-06-25T04:28:46Z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utput">
    <vt:lpwstr/>
  </property>
  <property fmtid="{D5CDD505-2E9C-101B-9397-08002B2CF9AE}" pid="3" name="params">
    <vt:lpwstr/>
  </property>
  <property fmtid="{D5CDD505-2E9C-101B-9397-08002B2CF9AE}" pid="4" name="KSOTemplateDocerSaveRecord">
    <vt:lpwstr>eyJoZGlkIjoiOGQzODUyZjg5ZWUzOTM3OWQzODdhNzMzYTM1NTllNGQiLCJ1c2VySWQiOiI2NTk2NjA5NTQifQ==</vt:lpwstr>
  </property>
  <property fmtid="{D5CDD505-2E9C-101B-9397-08002B2CF9AE}" pid="5" name="KSOProductBuildVer">
    <vt:lpwstr>2052-12.1.0.26895</vt:lpwstr>
  </property>
  <property fmtid="{D5CDD505-2E9C-101B-9397-08002B2CF9AE}" pid="6" name="ICV">
    <vt:lpwstr>5EDA51C9330145638827D41277DEC850_13</vt:lpwstr>
  </property>
</Properties>
</file>